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FE5E1C" w14:textId="7F22FB0F" w:rsidR="00D01BBC" w:rsidRPr="00D01BBC" w:rsidRDefault="00D01BBC" w:rsidP="00D01BBC">
      <w:pPr>
        <w:tabs>
          <w:tab w:val="left" w:pos="1985"/>
        </w:tabs>
        <w:spacing w:after="0"/>
        <w:ind w:left="0" w:firstLine="0"/>
        <w:rPr>
          <w:rFonts w:ascii="Arial" w:hAnsi="Arial" w:cs="Arial"/>
          <w:b/>
          <w:bCs/>
          <w:sz w:val="28"/>
          <w:lang w:val="en-US"/>
        </w:rPr>
      </w:pPr>
      <w:r w:rsidRPr="00D01BBC">
        <w:rPr>
          <w:rFonts w:ascii="Arial" w:hAnsi="Arial" w:cs="Arial"/>
          <w:b/>
          <w:bCs/>
          <w:sz w:val="28"/>
          <w:lang w:val="en-US"/>
        </w:rPr>
        <w:t>3GPP TSG RAN WG1 #105-e</w:t>
      </w:r>
      <w:r w:rsidRPr="00D01BBC">
        <w:rPr>
          <w:rFonts w:ascii="Arial" w:hAnsi="Arial" w:cs="Arial"/>
          <w:b/>
          <w:bCs/>
          <w:sz w:val="28"/>
          <w:lang w:val="en-US"/>
        </w:rPr>
        <w:tab/>
      </w:r>
      <w:r w:rsidRPr="00D01BBC">
        <w:rPr>
          <w:rFonts w:ascii="Arial" w:hAnsi="Arial" w:cs="Arial"/>
          <w:b/>
          <w:bCs/>
          <w:sz w:val="28"/>
          <w:lang w:val="en-US"/>
        </w:rPr>
        <w:tab/>
      </w:r>
      <w:r w:rsidRPr="00D01BBC">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Pr="00D01BBC">
        <w:rPr>
          <w:rFonts w:ascii="Arial" w:hAnsi="Arial" w:cs="Arial"/>
          <w:b/>
          <w:bCs/>
          <w:sz w:val="28"/>
          <w:lang w:val="en-US"/>
        </w:rPr>
        <w:t>R1-</w:t>
      </w:r>
      <w:r w:rsidR="00561DDF" w:rsidRPr="00561DDF">
        <w:rPr>
          <w:rFonts w:ascii="Arial" w:hAnsi="Arial" w:cs="Arial"/>
          <w:b/>
          <w:bCs/>
          <w:sz w:val="28"/>
          <w:lang w:val="en-US"/>
        </w:rPr>
        <w:t>2105425</w:t>
      </w:r>
    </w:p>
    <w:p w14:paraId="066D031B" w14:textId="77777777" w:rsidR="00D01BBC" w:rsidRDefault="00D01BBC" w:rsidP="00D01BBC">
      <w:pPr>
        <w:tabs>
          <w:tab w:val="left" w:pos="1985"/>
        </w:tabs>
        <w:spacing w:after="0"/>
        <w:ind w:left="0" w:firstLine="0"/>
        <w:rPr>
          <w:rFonts w:ascii="Arial" w:hAnsi="Arial" w:cs="Arial"/>
          <w:b/>
          <w:bCs/>
          <w:sz w:val="28"/>
          <w:lang w:val="en-US"/>
        </w:rPr>
      </w:pPr>
      <w:r w:rsidRPr="00D01BBC">
        <w:rPr>
          <w:rFonts w:ascii="Arial" w:hAnsi="Arial" w:cs="Arial"/>
          <w:b/>
          <w:bCs/>
          <w:sz w:val="28"/>
          <w:lang w:val="en-US"/>
        </w:rPr>
        <w:t>e-Meeting, May 10th – 27th, 2021</w:t>
      </w:r>
    </w:p>
    <w:p w14:paraId="4730ABAB" w14:textId="77777777" w:rsidR="00C238EE" w:rsidRPr="007F6C93" w:rsidRDefault="003C5E2A" w:rsidP="00634235">
      <w:pPr>
        <w:tabs>
          <w:tab w:val="left" w:pos="1985"/>
        </w:tabs>
        <w:spacing w:after="0"/>
        <w:ind w:left="0" w:firstLine="0"/>
        <w:rPr>
          <w:rFonts w:ascii="Arial" w:eastAsia="바탕" w:hAnsi="Arial"/>
          <w:sz w:val="24"/>
          <w:lang w:val="en-US" w:eastAsia="ko-KR"/>
        </w:rPr>
      </w:pPr>
      <w:r w:rsidRPr="007F6C93">
        <w:rPr>
          <w:rFonts w:ascii="Arial" w:hAnsi="Arial"/>
          <w:b/>
          <w:sz w:val="24"/>
          <w:lang w:val="en-US"/>
        </w:rPr>
        <w:t>Agenda Item:</w:t>
      </w:r>
      <w:r w:rsidRPr="007F6C93">
        <w:rPr>
          <w:rFonts w:ascii="Arial" w:hAnsi="Arial"/>
          <w:sz w:val="24"/>
          <w:lang w:val="en-US"/>
        </w:rPr>
        <w:tab/>
      </w:r>
      <w:r w:rsidR="009E12C3" w:rsidRPr="007F6C93">
        <w:rPr>
          <w:rFonts w:ascii="Arial" w:eastAsia="맑은 고딕" w:hAnsi="Arial"/>
          <w:sz w:val="24"/>
          <w:lang w:val="en-US" w:eastAsia="ko-KR"/>
        </w:rPr>
        <w:t>8</w:t>
      </w:r>
      <w:r w:rsidR="00E747F9" w:rsidRPr="007F6C93">
        <w:rPr>
          <w:rFonts w:ascii="Arial" w:eastAsia="맑은 고딕" w:hAnsi="Arial"/>
          <w:sz w:val="24"/>
          <w:lang w:val="en-US" w:eastAsia="ko-KR"/>
        </w:rPr>
        <w:t>.</w:t>
      </w:r>
      <w:r w:rsidR="00F74427" w:rsidRPr="007F6C93">
        <w:rPr>
          <w:rFonts w:ascii="Arial" w:eastAsia="맑은 고딕" w:hAnsi="Arial"/>
          <w:sz w:val="24"/>
          <w:lang w:val="en-US" w:eastAsia="ko-KR"/>
        </w:rPr>
        <w:t>3</w:t>
      </w:r>
      <w:r w:rsidR="00E747F9" w:rsidRPr="007F6C93">
        <w:rPr>
          <w:rFonts w:ascii="Arial" w:eastAsia="맑은 고딕" w:hAnsi="Arial"/>
          <w:sz w:val="24"/>
          <w:lang w:val="en-US" w:eastAsia="ko-KR"/>
        </w:rPr>
        <w:t>.</w:t>
      </w:r>
      <w:r w:rsidR="0044610E" w:rsidRPr="007F6C93">
        <w:rPr>
          <w:rFonts w:ascii="Arial" w:eastAsia="맑은 고딕" w:hAnsi="Arial"/>
          <w:sz w:val="24"/>
          <w:lang w:val="en-US" w:eastAsia="ko-KR"/>
        </w:rPr>
        <w:t>1.1</w:t>
      </w:r>
    </w:p>
    <w:p w14:paraId="31369D3B" w14:textId="77777777" w:rsidR="003C5E2A" w:rsidRPr="007F6C93" w:rsidRDefault="003C5E2A" w:rsidP="00634235">
      <w:pPr>
        <w:tabs>
          <w:tab w:val="left" w:pos="1985"/>
        </w:tabs>
        <w:spacing w:after="0"/>
        <w:ind w:left="0" w:firstLine="0"/>
        <w:rPr>
          <w:rFonts w:ascii="Arial" w:eastAsia="바탕" w:hAnsi="Arial"/>
          <w:sz w:val="24"/>
          <w:lang w:eastAsia="ko-KR"/>
        </w:rPr>
      </w:pPr>
      <w:r w:rsidRPr="007F6C93">
        <w:rPr>
          <w:rFonts w:ascii="Arial" w:hAnsi="Arial"/>
          <w:b/>
          <w:sz w:val="24"/>
        </w:rPr>
        <w:t xml:space="preserve">Source: </w:t>
      </w:r>
      <w:r w:rsidRPr="007F6C93">
        <w:rPr>
          <w:rFonts w:ascii="Arial" w:hAnsi="Arial"/>
          <w:b/>
          <w:sz w:val="24"/>
        </w:rPr>
        <w:tab/>
      </w:r>
      <w:r w:rsidRPr="007F6C93">
        <w:rPr>
          <w:rFonts w:ascii="Arial" w:eastAsia="바탕" w:hAnsi="Arial"/>
          <w:sz w:val="24"/>
          <w:lang w:eastAsia="ko-KR"/>
        </w:rPr>
        <w:t>LG Electronics</w:t>
      </w:r>
    </w:p>
    <w:p w14:paraId="173ABFAC" w14:textId="77777777" w:rsidR="003C5E2A" w:rsidRPr="007F6C93" w:rsidRDefault="003C5E2A" w:rsidP="00994829">
      <w:pPr>
        <w:tabs>
          <w:tab w:val="left" w:pos="1985"/>
        </w:tabs>
        <w:spacing w:after="0"/>
        <w:ind w:left="482" w:hangingChars="200" w:hanging="482"/>
        <w:rPr>
          <w:rFonts w:ascii="Arial" w:eastAsia="바탕" w:hAnsi="Arial"/>
          <w:sz w:val="24"/>
          <w:lang w:val="en-US" w:eastAsia="ko-KR"/>
        </w:rPr>
      </w:pPr>
      <w:r w:rsidRPr="007F6C93">
        <w:rPr>
          <w:rFonts w:ascii="Arial" w:hAnsi="Arial"/>
          <w:b/>
          <w:sz w:val="24"/>
        </w:rPr>
        <w:t>Title:</w:t>
      </w:r>
      <w:r w:rsidRPr="007F6C93">
        <w:rPr>
          <w:rFonts w:ascii="Arial" w:hAnsi="Arial"/>
          <w:sz w:val="24"/>
        </w:rPr>
        <w:t xml:space="preserve"> </w:t>
      </w:r>
      <w:r w:rsidRPr="007F6C93">
        <w:rPr>
          <w:rFonts w:ascii="Arial" w:hAnsi="Arial"/>
          <w:sz w:val="24"/>
        </w:rPr>
        <w:tab/>
      </w:r>
      <w:r w:rsidR="00B057AD" w:rsidRPr="007F6C93">
        <w:rPr>
          <w:rFonts w:ascii="Arial" w:eastAsia="바탕" w:hAnsi="Arial"/>
          <w:sz w:val="24"/>
          <w:lang w:eastAsia="ko-KR"/>
        </w:rPr>
        <w:t>Discussion on UE feedback enhancement for HARQ-ACK</w:t>
      </w:r>
    </w:p>
    <w:p w14:paraId="43D7D7CA" w14:textId="77777777" w:rsidR="00152C02" w:rsidRPr="007F6C93" w:rsidRDefault="003C5E2A" w:rsidP="00634235">
      <w:pPr>
        <w:pBdr>
          <w:bottom w:val="single" w:sz="12" w:space="1" w:color="auto"/>
        </w:pBdr>
        <w:tabs>
          <w:tab w:val="left" w:pos="1985"/>
        </w:tabs>
        <w:ind w:left="0" w:firstLine="0"/>
        <w:rPr>
          <w:rFonts w:ascii="Arial" w:eastAsia="바탕" w:hAnsi="Arial"/>
          <w:sz w:val="24"/>
          <w:lang w:eastAsia="ko-KR"/>
        </w:rPr>
      </w:pPr>
      <w:r w:rsidRPr="007F6C93">
        <w:rPr>
          <w:rFonts w:ascii="Arial" w:hAnsi="Arial"/>
          <w:b/>
          <w:sz w:val="24"/>
        </w:rPr>
        <w:t>Document for:</w:t>
      </w:r>
      <w:r w:rsidRPr="007F6C93">
        <w:rPr>
          <w:rFonts w:ascii="Arial" w:hAnsi="Arial"/>
          <w:sz w:val="24"/>
        </w:rPr>
        <w:tab/>
      </w:r>
      <w:r w:rsidRPr="007F6C93">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7F6C93">
        <w:rPr>
          <w:rFonts w:ascii="Arial" w:eastAsia="바탕" w:hAnsi="Arial"/>
          <w:sz w:val="24"/>
          <w:lang w:eastAsia="ko-KR"/>
        </w:rPr>
        <w:t xml:space="preserve"> </w:t>
      </w:r>
      <w:r w:rsidR="00384FAF" w:rsidRPr="007F6C93">
        <w:rPr>
          <w:rFonts w:ascii="Arial" w:eastAsia="바탕" w:hAnsi="Arial"/>
          <w:sz w:val="24"/>
          <w:lang w:eastAsia="ko-KR"/>
        </w:rPr>
        <w:t>and</w:t>
      </w:r>
      <w:r w:rsidR="00963DEA" w:rsidRPr="007F6C93">
        <w:rPr>
          <w:rFonts w:ascii="Arial" w:eastAsia="바탕" w:hAnsi="Arial"/>
          <w:sz w:val="24"/>
          <w:lang w:eastAsia="ko-KR"/>
        </w:rPr>
        <w:t xml:space="preserve"> </w:t>
      </w:r>
      <w:r w:rsidR="003B4252" w:rsidRPr="007F6C93">
        <w:rPr>
          <w:rFonts w:ascii="Arial" w:eastAsia="바탕" w:hAnsi="Arial"/>
          <w:sz w:val="24"/>
          <w:lang w:eastAsia="ko-KR"/>
        </w:rPr>
        <w:t>d</w:t>
      </w:r>
      <w:r w:rsidR="00963DEA" w:rsidRPr="007F6C93">
        <w:rPr>
          <w:rFonts w:ascii="Arial" w:eastAsia="바탕" w:hAnsi="Arial"/>
          <w:sz w:val="24"/>
          <w:lang w:eastAsia="ko-KR"/>
        </w:rPr>
        <w:t>ecision</w:t>
      </w:r>
    </w:p>
    <w:p w14:paraId="4A7E43F6" w14:textId="77777777" w:rsidR="00095BF5" w:rsidRPr="007F6C93" w:rsidRDefault="00095BF5" w:rsidP="00B057AD">
      <w:pPr>
        <w:pStyle w:val="1"/>
      </w:pPr>
      <w:r w:rsidRPr="007F6C93">
        <w:t>Introduction</w:t>
      </w:r>
    </w:p>
    <w:p w14:paraId="69021D90" w14:textId="0AB76D76" w:rsidR="00EF588E" w:rsidRPr="007F6C93" w:rsidRDefault="00EF588E" w:rsidP="00EF588E">
      <w:pPr>
        <w:pStyle w:val="Doc"/>
      </w:pPr>
      <w:r w:rsidRPr="007F6C93">
        <w:t>In the last e-meeting, following agreement was made [1]:</w:t>
      </w:r>
    </w:p>
    <w:tbl>
      <w:tblPr>
        <w:tblStyle w:val="a6"/>
        <w:tblW w:w="9067" w:type="dxa"/>
        <w:jc w:val="center"/>
        <w:tblLook w:val="04A0" w:firstRow="1" w:lastRow="0" w:firstColumn="1" w:lastColumn="0" w:noHBand="0" w:noVBand="1"/>
      </w:tblPr>
      <w:tblGrid>
        <w:gridCol w:w="9067"/>
      </w:tblGrid>
      <w:tr w:rsidR="004F6257" w:rsidRPr="007F6C93" w14:paraId="119503CE" w14:textId="77777777" w:rsidTr="004F6257">
        <w:trPr>
          <w:jc w:val="center"/>
        </w:trPr>
        <w:tc>
          <w:tcPr>
            <w:tcW w:w="9067" w:type="dxa"/>
          </w:tcPr>
          <w:p w14:paraId="2EE89C3F" w14:textId="77777777" w:rsidR="00584FA4" w:rsidRPr="007F6C93" w:rsidRDefault="00584FA4" w:rsidP="00584FA4">
            <w:pPr>
              <w:spacing w:before="0" w:after="0" w:line="240" w:lineRule="exact"/>
              <w:ind w:left="0" w:firstLine="0"/>
              <w:jc w:val="left"/>
              <w:rPr>
                <w:rFonts w:ascii="Times" w:eastAsia="바탕" w:hAnsi="Times"/>
                <w:lang w:eastAsia="ko-KR"/>
              </w:rPr>
            </w:pPr>
          </w:p>
          <w:p w14:paraId="1129833D" w14:textId="77777777" w:rsidR="00584FA4" w:rsidRPr="007F6C93" w:rsidRDefault="00584FA4" w:rsidP="00584FA4">
            <w:pPr>
              <w:spacing w:before="0" w:after="0" w:line="240" w:lineRule="exact"/>
              <w:ind w:left="0" w:firstLine="0"/>
              <w:jc w:val="left"/>
              <w:rPr>
                <w:rFonts w:eastAsia="바탕"/>
              </w:rPr>
            </w:pPr>
            <w:r w:rsidRPr="00561DDF">
              <w:rPr>
                <w:rFonts w:ascii="Times" w:eastAsia="바탕" w:hAnsi="Times"/>
                <w:b/>
                <w:highlight w:val="green"/>
              </w:rPr>
              <w:t>Agreements</w:t>
            </w:r>
            <w:r w:rsidRPr="007F6C93">
              <w:rPr>
                <w:rFonts w:ascii="Times" w:eastAsia="바탕" w:hAnsi="Times"/>
              </w:rPr>
              <w:t xml:space="preserve">: </w:t>
            </w:r>
            <w:r w:rsidRPr="007F6C93">
              <w:rPr>
                <w:rFonts w:ascii="Times" w:eastAsia="바탕" w:hAnsi="Times"/>
                <w:b/>
                <w:bCs/>
              </w:rPr>
              <w:t>For further study on</w:t>
            </w:r>
            <w:r w:rsidRPr="007F6C93">
              <w:rPr>
                <w:rFonts w:eastAsia="바탕"/>
              </w:rPr>
              <w:t> </w:t>
            </w:r>
            <w:r w:rsidRPr="007F6C93">
              <w:rPr>
                <w:rFonts w:ascii="Times" w:eastAsia="바탕" w:hAnsi="Times"/>
                <w:b/>
                <w:bCs/>
              </w:rPr>
              <w:t>whether and how to support</w:t>
            </w:r>
            <w:r w:rsidRPr="007F6C93">
              <w:rPr>
                <w:rFonts w:eastAsia="바탕"/>
              </w:rPr>
              <w:t> </w:t>
            </w:r>
            <w:r w:rsidRPr="007F6C93">
              <w:rPr>
                <w:rFonts w:ascii="Times" w:eastAsia="바탕" w:hAnsi="Times"/>
                <w:b/>
                <w:bCs/>
              </w:rPr>
              <w:t>PUCCH carrier switching</w:t>
            </w:r>
            <w:r w:rsidRPr="007F6C93">
              <w:rPr>
                <w:rFonts w:eastAsia="바탕"/>
              </w:rPr>
              <w:t> </w:t>
            </w:r>
            <w:r w:rsidRPr="007F6C93">
              <w:rPr>
                <w:rFonts w:ascii="Times" w:eastAsia="바탕" w:hAnsi="Times"/>
                <w:b/>
                <w:bCs/>
              </w:rPr>
              <w:t>in a PUCCH group, focus on the following three alternatives:</w:t>
            </w:r>
          </w:p>
          <w:p w14:paraId="009C7CBA" w14:textId="77777777" w:rsidR="00584FA4" w:rsidRPr="007F6C93" w:rsidRDefault="00584FA4" w:rsidP="00584FA4">
            <w:pPr>
              <w:numPr>
                <w:ilvl w:val="0"/>
                <w:numId w:val="31"/>
              </w:numPr>
              <w:spacing w:before="0" w:after="0" w:line="240" w:lineRule="exact"/>
              <w:jc w:val="left"/>
              <w:rPr>
                <w:rFonts w:ascii="Calibri" w:eastAsia="Times New Roman" w:hAnsi="Calibri" w:cs="Calibri"/>
                <w:sz w:val="22"/>
                <w:szCs w:val="22"/>
                <w:lang w:val="en-US"/>
              </w:rPr>
            </w:pPr>
            <w:r w:rsidRPr="007F6C93">
              <w:rPr>
                <w:rFonts w:ascii="Calibri" w:eastAsia="Times New Roman" w:hAnsi="Calibri" w:cs="Calibri"/>
                <w:b/>
                <w:bCs/>
                <w:lang w:val="en-US"/>
              </w:rPr>
              <w:t>Alt. 1: PUCCH carrier switching is based dynamic indication in DCI</w:t>
            </w:r>
          </w:p>
          <w:p w14:paraId="0E699C94" w14:textId="77777777" w:rsidR="00584FA4" w:rsidRPr="007F6C93" w:rsidRDefault="00584FA4" w:rsidP="00584FA4">
            <w:pPr>
              <w:numPr>
                <w:ilvl w:val="0"/>
                <w:numId w:val="31"/>
              </w:numPr>
              <w:spacing w:before="0" w:after="0" w:line="240" w:lineRule="exact"/>
              <w:jc w:val="left"/>
              <w:rPr>
                <w:rFonts w:eastAsia="Calibri"/>
                <w:sz w:val="22"/>
                <w:szCs w:val="22"/>
                <w:lang w:val="en-US"/>
              </w:rPr>
            </w:pPr>
            <w:r w:rsidRPr="007F6C93">
              <w:rPr>
                <w:rFonts w:ascii="Calibri" w:eastAsia="Times New Roman" w:hAnsi="Calibri" w:cs="Calibri"/>
                <w:b/>
                <w:bCs/>
                <w:lang w:val="en-US"/>
              </w:rPr>
              <w:t>Alt. 2B: PUCCH carrier switching is based on certain (semi-static) rules</w:t>
            </w:r>
          </w:p>
          <w:p w14:paraId="04A8854E" w14:textId="77777777" w:rsidR="00584FA4" w:rsidRPr="007F6C93" w:rsidRDefault="00584FA4" w:rsidP="00584FA4">
            <w:pPr>
              <w:numPr>
                <w:ilvl w:val="0"/>
                <w:numId w:val="31"/>
              </w:numPr>
              <w:spacing w:before="0" w:after="0" w:line="240" w:lineRule="exact"/>
              <w:jc w:val="left"/>
              <w:rPr>
                <w:rFonts w:eastAsia="Times New Roman"/>
                <w:lang w:val="en-US"/>
              </w:rPr>
            </w:pPr>
            <w:r w:rsidRPr="007F6C93">
              <w:rPr>
                <w:rFonts w:ascii="Calibri" w:eastAsia="Times New Roman" w:hAnsi="Calibri" w:cs="Calibri"/>
                <w:b/>
                <w:bCs/>
                <w:lang w:val="en-US"/>
              </w:rPr>
              <w:t>Alt. 2C: PUCCH carrier switching is based on RRC configured PUCCH cell timing pattern of applicable PUCCH cells</w:t>
            </w:r>
          </w:p>
          <w:p w14:paraId="500EAE68" w14:textId="77777777" w:rsidR="00584FA4" w:rsidRPr="007F6C93" w:rsidRDefault="00584FA4" w:rsidP="00584FA4">
            <w:pPr>
              <w:numPr>
                <w:ilvl w:val="0"/>
                <w:numId w:val="31"/>
              </w:numPr>
              <w:spacing w:before="0" w:after="0" w:line="240" w:lineRule="exact"/>
              <w:jc w:val="left"/>
              <w:rPr>
                <w:rFonts w:eastAsia="Times New Roman"/>
                <w:lang w:val="en-US"/>
              </w:rPr>
            </w:pPr>
            <w:r w:rsidRPr="007F6C93">
              <w:rPr>
                <w:rFonts w:ascii="Calibri" w:eastAsia="Times New Roman" w:hAnsi="Calibri" w:cs="Calibri"/>
                <w:i/>
                <w:iCs/>
                <w:lang w:val="en-US"/>
              </w:rPr>
              <w:t>Note: In above alternatives, it is assumed that HARQ-ACK corresponding to PDSCH received on a Pcell/PScell or an Scell in a PUCCH group, can be sent on a PUCCH on</w:t>
            </w:r>
            <w:r w:rsidRPr="007F6C93">
              <w:rPr>
                <w:rFonts w:eastAsia="Times New Roman"/>
                <w:i/>
                <w:iCs/>
                <w:lang w:val="en-US"/>
              </w:rPr>
              <w:t> </w:t>
            </w:r>
            <w:r w:rsidRPr="007F6C93">
              <w:rPr>
                <w:rFonts w:ascii="Calibri" w:eastAsia="Times New Roman" w:hAnsi="Calibri" w:cs="Calibri"/>
                <w:i/>
                <w:iCs/>
                <w:lang w:val="en-US"/>
              </w:rPr>
              <w:t>an Scell</w:t>
            </w:r>
            <w:r w:rsidRPr="007F6C93">
              <w:rPr>
                <w:rFonts w:eastAsia="Times New Roman"/>
                <w:i/>
                <w:iCs/>
                <w:lang w:val="en-US"/>
              </w:rPr>
              <w:t> </w:t>
            </w:r>
            <w:r w:rsidRPr="007F6C93">
              <w:rPr>
                <w:rFonts w:ascii="Calibri" w:eastAsia="Times New Roman" w:hAnsi="Calibri" w:cs="Calibri"/>
                <w:i/>
                <w:iCs/>
                <w:lang w:val="en-US"/>
              </w:rPr>
              <w:t>also instead of</w:t>
            </w:r>
            <w:r w:rsidRPr="007F6C93">
              <w:rPr>
                <w:rFonts w:eastAsia="Times New Roman"/>
                <w:i/>
                <w:iCs/>
                <w:lang w:val="en-US"/>
              </w:rPr>
              <w:t> </w:t>
            </w:r>
            <w:r w:rsidRPr="007F6C93">
              <w:rPr>
                <w:rFonts w:ascii="Calibri" w:eastAsia="Times New Roman" w:hAnsi="Calibri" w:cs="Calibri"/>
                <w:i/>
                <w:iCs/>
                <w:lang w:val="en-US"/>
              </w:rPr>
              <w:t>only on</w:t>
            </w:r>
            <w:r w:rsidRPr="007F6C93">
              <w:rPr>
                <w:rFonts w:eastAsia="Times New Roman"/>
                <w:i/>
                <w:iCs/>
                <w:lang w:val="en-US"/>
              </w:rPr>
              <w:t> </w:t>
            </w:r>
            <w:r w:rsidRPr="007F6C93">
              <w:rPr>
                <w:rFonts w:ascii="Calibri" w:eastAsia="Times New Roman" w:hAnsi="Calibri" w:cs="Calibri"/>
                <w:i/>
                <w:iCs/>
                <w:lang w:val="en-US"/>
              </w:rPr>
              <w:t>Pcell/PScell/PUCCH-SCell</w:t>
            </w:r>
            <w:r w:rsidRPr="007F6C93">
              <w:rPr>
                <w:rFonts w:eastAsia="Times New Roman"/>
                <w:i/>
                <w:iCs/>
                <w:lang w:val="en-US"/>
              </w:rPr>
              <w:t> </w:t>
            </w:r>
            <w:r w:rsidRPr="007F6C93">
              <w:rPr>
                <w:rFonts w:ascii="Calibri" w:eastAsia="Times New Roman" w:hAnsi="Calibri" w:cs="Calibri"/>
                <w:i/>
                <w:iCs/>
                <w:lang w:val="en-US"/>
              </w:rPr>
              <w:t>in the same PUCCH group, as opposed to Rel-16 where HARQ-ACK corresponding to PDSCH received on a Pcell/PScell or an Scell in a PUCCH group can only be sent on Pcell/PScell/PUCCH-SCell in the same PUCCH group.</w:t>
            </w:r>
          </w:p>
          <w:p w14:paraId="5E459C4A" w14:textId="77777777" w:rsidR="00584FA4" w:rsidRPr="007F6C93" w:rsidRDefault="00584FA4" w:rsidP="00584FA4">
            <w:pPr>
              <w:numPr>
                <w:ilvl w:val="0"/>
                <w:numId w:val="31"/>
              </w:numPr>
              <w:spacing w:before="0" w:after="100" w:afterAutospacing="1" w:line="240" w:lineRule="exact"/>
              <w:jc w:val="left"/>
              <w:rPr>
                <w:rFonts w:eastAsia="Times New Roman"/>
                <w:i/>
                <w:iCs/>
                <w:lang w:val="en-US"/>
              </w:rPr>
            </w:pPr>
            <w:r w:rsidRPr="007F6C93">
              <w:rPr>
                <w:rFonts w:ascii="Calibri" w:eastAsia="Times New Roman" w:hAnsi="Calibri" w:cs="Calibri"/>
                <w:b/>
                <w:bCs/>
                <w:i/>
                <w:iCs/>
                <w:lang w:val="en-US"/>
              </w:rPr>
              <w:t>Note: Realistic deployment scenarios including TDD configurations should be considered for the study</w:t>
            </w:r>
          </w:p>
          <w:p w14:paraId="3A3B5768" w14:textId="655A457E" w:rsidR="00584FA4" w:rsidRPr="007F6C93" w:rsidRDefault="00584FA4" w:rsidP="00584FA4">
            <w:pPr>
              <w:spacing w:before="0" w:after="0" w:line="240" w:lineRule="exact"/>
              <w:ind w:left="0" w:firstLine="0"/>
              <w:jc w:val="left"/>
              <w:rPr>
                <w:rFonts w:ascii="Times" w:eastAsia="바탕" w:hAnsi="Times"/>
                <w:lang w:eastAsia="ko-KR"/>
              </w:rPr>
            </w:pPr>
          </w:p>
        </w:tc>
      </w:tr>
    </w:tbl>
    <w:p w14:paraId="1CBFB334" w14:textId="399ABAB1" w:rsidR="00994829" w:rsidRPr="007F6C93" w:rsidRDefault="00603575" w:rsidP="00B057AD">
      <w:pPr>
        <w:pStyle w:val="Doc"/>
      </w:pPr>
      <w:r w:rsidRPr="007F6C93">
        <w:t xml:space="preserve">In this contribution, </w:t>
      </w:r>
      <w:r w:rsidR="00CD30B3" w:rsidRPr="007F6C93">
        <w:t xml:space="preserve">we </w:t>
      </w:r>
      <w:r w:rsidR="00E747F9" w:rsidRPr="007F6C93">
        <w:t xml:space="preserve">discuss </w:t>
      </w:r>
      <w:r w:rsidR="00994829" w:rsidRPr="007F6C93">
        <w:t>and provide our</w:t>
      </w:r>
      <w:r w:rsidR="00E747F9" w:rsidRPr="007F6C93">
        <w:t xml:space="preserve"> </w:t>
      </w:r>
      <w:r w:rsidR="004F6257" w:rsidRPr="007F6C93">
        <w:t xml:space="preserve">views on </w:t>
      </w:r>
      <w:r w:rsidR="002C7034" w:rsidRPr="007F6C93">
        <w:rPr>
          <w:lang w:eastAsia="en-GB"/>
        </w:rPr>
        <w:t>UE feedback enhancement</w:t>
      </w:r>
      <w:r w:rsidR="00A04E72" w:rsidRPr="007F6C93">
        <w:rPr>
          <w:lang w:eastAsia="en-GB"/>
        </w:rPr>
        <w:t>s</w:t>
      </w:r>
      <w:r w:rsidR="002C7034" w:rsidRPr="007F6C93">
        <w:rPr>
          <w:lang w:eastAsia="en-GB"/>
        </w:rPr>
        <w:t xml:space="preserve"> for HARQ-ACK</w:t>
      </w:r>
      <w:r w:rsidR="00A6216B" w:rsidRPr="007F6C93">
        <w:rPr>
          <w:lang w:eastAsia="en-GB"/>
        </w:rPr>
        <w:t xml:space="preserve"> to support URLLC</w:t>
      </w:r>
      <w:r w:rsidR="00994829" w:rsidRPr="007F6C93">
        <w:rPr>
          <w:lang w:eastAsia="en-GB"/>
        </w:rPr>
        <w:t>, in terms of</w:t>
      </w:r>
      <w:r w:rsidR="002C7034" w:rsidRPr="007F6C93">
        <w:t xml:space="preserve"> </w:t>
      </w:r>
      <w:r w:rsidR="00A96670">
        <w:t>dynamic PUCCH carrier switching and enhanced type-3 HARQ-ACK codebook.</w:t>
      </w:r>
    </w:p>
    <w:p w14:paraId="014AA2AB" w14:textId="77777777" w:rsidR="00B63BF1" w:rsidRPr="007F6C93" w:rsidRDefault="00B63BF1" w:rsidP="00671D1E">
      <w:pPr>
        <w:spacing w:before="120" w:after="120" w:line="240" w:lineRule="auto"/>
        <w:ind w:left="284" w:hangingChars="129"/>
        <w:rPr>
          <w:rFonts w:eastAsia="바탕"/>
          <w:sz w:val="22"/>
          <w:szCs w:val="22"/>
          <w:lang w:eastAsia="ko-KR"/>
        </w:rPr>
      </w:pPr>
    </w:p>
    <w:p w14:paraId="274F2641" w14:textId="77777777" w:rsidR="00993C5F" w:rsidRDefault="00A83214" w:rsidP="00F0105D">
      <w:pPr>
        <w:pStyle w:val="1"/>
      </w:pPr>
      <w:r w:rsidRPr="007F6C93">
        <w:t>Discussion</w:t>
      </w:r>
    </w:p>
    <w:p w14:paraId="46F31E8A" w14:textId="77777777" w:rsidR="00A96670" w:rsidRPr="007F6C93" w:rsidRDefault="00A96670" w:rsidP="00A96670">
      <w:pPr>
        <w:pStyle w:val="subheader"/>
      </w:pPr>
      <w:r w:rsidRPr="007F6C93">
        <w:t>Dynamic PUCCH carrier switching</w:t>
      </w:r>
    </w:p>
    <w:p w14:paraId="77E760EE" w14:textId="77777777" w:rsidR="00A96670" w:rsidRPr="00AE4400" w:rsidRDefault="00A96670" w:rsidP="00A96670">
      <w:pPr>
        <w:pStyle w:val="Doc"/>
      </w:pPr>
      <w:r w:rsidRPr="00AE4400">
        <w:t>In the previous meeting, dynamic PUCCH carrier switching has been discussed. The main concept of dynamic PUCCH carrier switching is for UE to use PUCCH carrier adaptively, considering TDD pattern of primary cell. Thus, the beneficial point requires different TDD pattern among different CCs configured to UE.</w:t>
      </w:r>
    </w:p>
    <w:p w14:paraId="027E91A3" w14:textId="7FF8F476" w:rsidR="00A96670" w:rsidRPr="007F6C93" w:rsidRDefault="00A96670" w:rsidP="00A96670">
      <w:pPr>
        <w:spacing w:before="120" w:after="120" w:line="240" w:lineRule="auto"/>
        <w:ind w:left="0" w:firstLine="0"/>
        <w:rPr>
          <w:rFonts w:eastAsia="바탕"/>
          <w:sz w:val="22"/>
          <w:szCs w:val="22"/>
          <w:lang w:eastAsia="ko-KR"/>
        </w:rPr>
      </w:pPr>
      <w:r w:rsidRPr="007F6C93">
        <w:rPr>
          <w:rFonts w:eastAsia="바탕"/>
          <w:sz w:val="22"/>
          <w:szCs w:val="22"/>
          <w:lang w:eastAsia="ko-KR"/>
        </w:rPr>
        <w:t>In our point of view, the benefit seems clear, however, the use case is limited</w:t>
      </w:r>
      <w:r w:rsidR="00B44D8B">
        <w:rPr>
          <w:rFonts w:eastAsia="바탕"/>
          <w:sz w:val="22"/>
          <w:szCs w:val="22"/>
          <w:lang w:eastAsia="ko-KR"/>
        </w:rPr>
        <w:t>, for example, to the case of inter-band CA belonging to a single PUCCH group</w:t>
      </w:r>
      <w:r w:rsidRPr="007F6C93">
        <w:rPr>
          <w:rFonts w:eastAsia="바탕"/>
          <w:sz w:val="22"/>
          <w:szCs w:val="22"/>
          <w:lang w:eastAsia="ko-KR"/>
        </w:rPr>
        <w:t xml:space="preserve">. Considering other issues in this agenda and required efforts, </w:t>
      </w:r>
      <w:r w:rsidR="00EA3888">
        <w:rPr>
          <w:rFonts w:eastAsia="바탕"/>
          <w:sz w:val="22"/>
          <w:szCs w:val="22"/>
          <w:lang w:eastAsia="ko-KR"/>
        </w:rPr>
        <w:t xml:space="preserve">the trade-off between benefit and efforts should be considered. </w:t>
      </w:r>
    </w:p>
    <w:p w14:paraId="00F473A3" w14:textId="77777777" w:rsidR="00253DE3" w:rsidRDefault="00A96670" w:rsidP="00253DE3">
      <w:pPr>
        <w:pStyle w:val="Doc"/>
        <w:rPr>
          <w:lang w:val="en-GB"/>
        </w:rPr>
      </w:pPr>
      <w:r w:rsidRPr="00AE4400">
        <w:t xml:space="preserve">If there is a consensus that it is necessary to support dynamic PUCCH carrier switching, it is desirable to have minimal specification impact. In this sense, Alternative 1 in the last meeting can be preferred. It requires only one additional DCI field (which is recommended for minimal spec impact and using PUCCH resource </w:t>
      </w:r>
      <w:r w:rsidRPr="00AE4400">
        <w:lastRenderedPageBreak/>
        <w:t xml:space="preserve">set in switched cell). </w:t>
      </w:r>
      <w:r w:rsidR="00253DE3">
        <w:rPr>
          <w:lang w:val="en-GB"/>
        </w:rPr>
        <w:t>I</w:t>
      </w:r>
      <w:r w:rsidR="00253DE3">
        <w:rPr>
          <w:rFonts w:hint="eastAsia"/>
          <w:lang w:val="en-GB"/>
        </w:rPr>
        <w:t xml:space="preserve">f </w:t>
      </w:r>
      <w:r w:rsidR="00253DE3">
        <w:rPr>
          <w:lang w:val="en-GB"/>
        </w:rPr>
        <w:t xml:space="preserve">DCI indicates different PUCCH carrier for a HARQ-ACK PUCCH, it would be natural to multiplexing overlapping PUCCHs with the HARQ-ACK PUCCH in the indicated carrier. </w:t>
      </w:r>
    </w:p>
    <w:p w14:paraId="3A0FF5D5" w14:textId="77777777" w:rsidR="00EA3888" w:rsidRPr="00561DDF" w:rsidRDefault="00EA3888" w:rsidP="00A96670">
      <w:pPr>
        <w:pStyle w:val="Doc"/>
        <w:rPr>
          <w:lang w:val="en-GB"/>
        </w:rPr>
      </w:pPr>
    </w:p>
    <w:p w14:paraId="73CE1700" w14:textId="5CD67E61" w:rsidR="00EA3888" w:rsidRPr="007F6C93" w:rsidRDefault="00EA3888" w:rsidP="00EA3888">
      <w:pPr>
        <w:pStyle w:val="proposal"/>
      </w:pPr>
      <w:r w:rsidRPr="007F6C93">
        <w:t xml:space="preserve">Proposal </w:t>
      </w:r>
      <w:r w:rsidR="00561DDF">
        <w:t>1</w:t>
      </w:r>
      <w:r w:rsidRPr="007F6C93">
        <w:t xml:space="preserve">: If there is a consensus that </w:t>
      </w:r>
      <w:r>
        <w:t>dynamic PUCCH carrier switching</w:t>
      </w:r>
      <w:r w:rsidRPr="007F6C93">
        <w:t xml:space="preserve"> is necessary, PUCCH carrier switching based on dynamic indication in DCI can be supported</w:t>
      </w:r>
    </w:p>
    <w:p w14:paraId="44554792" w14:textId="77777777" w:rsidR="00EA3888" w:rsidRDefault="00EA3888" w:rsidP="00EA3888">
      <w:pPr>
        <w:pStyle w:val="proposal"/>
        <w:numPr>
          <w:ilvl w:val="0"/>
          <w:numId w:val="37"/>
        </w:numPr>
      </w:pPr>
      <w:r w:rsidRPr="007F6C93">
        <w:t>To indicate switched carrier, a DCI field is added to DL scheduling DCI.</w:t>
      </w:r>
    </w:p>
    <w:p w14:paraId="3D04D2DC" w14:textId="4FF4C51F" w:rsidR="00253DE3" w:rsidRPr="007F6C93" w:rsidRDefault="00253DE3" w:rsidP="00EA3888">
      <w:pPr>
        <w:pStyle w:val="proposal"/>
        <w:numPr>
          <w:ilvl w:val="0"/>
          <w:numId w:val="37"/>
        </w:numPr>
      </w:pPr>
      <w:r>
        <w:t xml:space="preserve">If there are overlapping PUCCHs with the PUCCH indicated with carrier indication, overlapping PUCCHs are multiplexed and transmitted in switched PUCCH carrier by the indication. </w:t>
      </w:r>
    </w:p>
    <w:p w14:paraId="0B0CD6C4" w14:textId="77777777" w:rsidR="00253DE3" w:rsidRDefault="00253DE3" w:rsidP="00A96670">
      <w:pPr>
        <w:pStyle w:val="Doc"/>
        <w:rPr>
          <w:lang w:val="en-GB"/>
        </w:rPr>
      </w:pPr>
    </w:p>
    <w:p w14:paraId="6EABF206" w14:textId="527211D3" w:rsidR="00EA3888" w:rsidRDefault="00EA3888" w:rsidP="00A96670">
      <w:pPr>
        <w:pStyle w:val="Doc"/>
        <w:rPr>
          <w:lang w:val="en-GB"/>
        </w:rPr>
      </w:pPr>
      <w:r>
        <w:rPr>
          <w:rFonts w:hint="eastAsia"/>
          <w:lang w:val="en-GB"/>
        </w:rPr>
        <w:t xml:space="preserve">For semi-static </w:t>
      </w:r>
      <w:r w:rsidR="00253DE3">
        <w:rPr>
          <w:lang w:val="en-GB"/>
        </w:rPr>
        <w:t>HARQ-ACK PUCCH like SPS HARQ-ACK, it seems not essential to apply dynamic PUCCH carrier switching. It is still possible to schedule dynamic HARQ-ACK PUCCH for sav</w:t>
      </w:r>
      <w:r w:rsidR="006D06B7">
        <w:rPr>
          <w:lang w:val="en-GB"/>
        </w:rPr>
        <w:t>ing</w:t>
      </w:r>
      <w:r w:rsidR="00253DE3">
        <w:rPr>
          <w:lang w:val="en-GB"/>
        </w:rPr>
        <w:t xml:space="preserve"> SPS HARQ-ACK PUCCH occasion, and there is another solution for dropped SPS HARQ-ACK by TDD operation; SPS HARQ-ACK deferral procedure.  </w:t>
      </w:r>
    </w:p>
    <w:p w14:paraId="1C03F3A7" w14:textId="49376024" w:rsidR="00253DE3" w:rsidRDefault="00253DE3" w:rsidP="00253DE3">
      <w:pPr>
        <w:pStyle w:val="proposal"/>
      </w:pPr>
      <w:r w:rsidRPr="007F6C93">
        <w:t xml:space="preserve">Proposal </w:t>
      </w:r>
      <w:r w:rsidR="00561DDF">
        <w:t>2</w:t>
      </w:r>
      <w:r w:rsidRPr="007F6C93">
        <w:t xml:space="preserve">: </w:t>
      </w:r>
      <w:r>
        <w:t xml:space="preserve">For HARQ-ACK </w:t>
      </w:r>
      <w:r w:rsidR="006D06B7">
        <w:t xml:space="preserve">PUCCH </w:t>
      </w:r>
      <w:r>
        <w:t>for SPS PDSCH</w:t>
      </w:r>
      <w:r w:rsidR="00A66A7A">
        <w:t xml:space="preserve"> </w:t>
      </w:r>
      <w:r w:rsidR="00A66A7A">
        <w:rPr>
          <w:rFonts w:hint="eastAsia"/>
        </w:rPr>
        <w:t>itself</w:t>
      </w:r>
      <w:r w:rsidRPr="007F6C93">
        <w:t xml:space="preserve">, </w:t>
      </w:r>
      <w:r>
        <w:t xml:space="preserve">dynamic </w:t>
      </w:r>
      <w:r w:rsidRPr="007F6C93">
        <w:t>PUCCH carrier switching</w:t>
      </w:r>
      <w:r>
        <w:t xml:space="preserve"> is not suppor</w:t>
      </w:r>
      <w:r w:rsidR="006D06B7">
        <w:t>t</w:t>
      </w:r>
      <w:r>
        <w:t xml:space="preserve">ed. </w:t>
      </w:r>
    </w:p>
    <w:p w14:paraId="44DD3189" w14:textId="7D22AC75" w:rsidR="00423842" w:rsidRDefault="00B2369F" w:rsidP="00561DDF">
      <w:pPr>
        <w:pStyle w:val="proposal"/>
        <w:numPr>
          <w:ilvl w:val="0"/>
          <w:numId w:val="40"/>
        </w:numPr>
      </w:pPr>
      <w:r>
        <w:t>Carrier i</w:t>
      </w:r>
      <w:r w:rsidR="00423842">
        <w:t>ndication</w:t>
      </w:r>
      <w:r w:rsidR="00365E9C">
        <w:t xml:space="preserve"> in activation</w:t>
      </w:r>
      <w:r>
        <w:t xml:space="preserve"> DCI</w:t>
      </w:r>
      <w:r w:rsidR="00423842">
        <w:t xml:space="preserve"> is ignored </w:t>
      </w:r>
      <w:r w:rsidR="00365E9C">
        <w:t>for SPS PDSCH without corresponding DCI</w:t>
      </w:r>
    </w:p>
    <w:p w14:paraId="03474C97" w14:textId="77777777" w:rsidR="00423842" w:rsidRPr="006D06B7" w:rsidRDefault="00423842">
      <w:pPr>
        <w:pStyle w:val="proposal"/>
      </w:pPr>
    </w:p>
    <w:p w14:paraId="51042B65" w14:textId="2A0686C9" w:rsidR="00253DE3" w:rsidRPr="007F6C93" w:rsidRDefault="00253DE3" w:rsidP="00A96670">
      <w:pPr>
        <w:pStyle w:val="Doc"/>
      </w:pPr>
      <w:r>
        <w:t xml:space="preserve">Alternative 2B and 2C can be applied to not only any kind of HARQ-ACK PUCCH but also other </w:t>
      </w:r>
      <w:r w:rsidR="00423842">
        <w:t>UCI transmission. H</w:t>
      </w:r>
      <w:r>
        <w:t xml:space="preserve">owever, it doesn’t </w:t>
      </w:r>
      <w:r w:rsidR="006D06B7">
        <w:t>provide</w:t>
      </w:r>
      <w:r>
        <w:t xml:space="preserve"> any controllability</w:t>
      </w:r>
      <w:r w:rsidR="006D06B7">
        <w:t xml:space="preserve"> and adaptability</w:t>
      </w:r>
      <w:r>
        <w:t xml:space="preserve">. Thus, it means we should specify </w:t>
      </w:r>
      <w:r w:rsidR="00423842">
        <w:t xml:space="preserve">all possible cases of UE behavior, such as handling between PUCCH carrier switching and SPS HARQ-ACK deferral. It would </w:t>
      </w:r>
      <w:r w:rsidR="006D06B7">
        <w:t>cause</w:t>
      </w:r>
      <w:r w:rsidR="00423842">
        <w:t xml:space="preserve"> amount of </w:t>
      </w:r>
      <w:r w:rsidR="00FD3F7A">
        <w:t xml:space="preserve">spin-off </w:t>
      </w:r>
      <w:r w:rsidR="00423842">
        <w:t xml:space="preserve">discussions. </w:t>
      </w:r>
    </w:p>
    <w:p w14:paraId="6460F6D0" w14:textId="21F84233" w:rsidR="00423842" w:rsidRDefault="00423842" w:rsidP="00A96670">
      <w:pPr>
        <w:pStyle w:val="Doc"/>
      </w:pPr>
      <w:r>
        <w:rPr>
          <w:rFonts w:hint="eastAsia"/>
        </w:rPr>
        <w:t xml:space="preserve">In the last </w:t>
      </w:r>
      <w:r>
        <w:t>meeting</w:t>
      </w:r>
      <w:r>
        <w:rPr>
          <w:rFonts w:hint="eastAsia"/>
        </w:rPr>
        <w:t>,</w:t>
      </w:r>
      <w:r>
        <w:t xml:space="preserve"> there was a concern on different SCS between source carrier and target carrier. First of all, it should be avoided to transmit two PUCCH for HARQ-ACK from different carrier in a slot in the switched PUCCH carrier. To prevent the case, it can be considered to limit PUCCH carrier switching to a carrier having same or higher subcarrier spacing. </w:t>
      </w:r>
    </w:p>
    <w:p w14:paraId="77140D8E" w14:textId="2225C8A7" w:rsidR="00423842" w:rsidRDefault="00423842" w:rsidP="00423842">
      <w:pPr>
        <w:pStyle w:val="proposal"/>
      </w:pPr>
      <w:r w:rsidRPr="007F6C93">
        <w:t xml:space="preserve">Proposal </w:t>
      </w:r>
      <w:r w:rsidR="00561DDF">
        <w:t>3</w:t>
      </w:r>
      <w:r w:rsidRPr="007F6C93">
        <w:t xml:space="preserve">: </w:t>
      </w:r>
      <w:r>
        <w:t>For dynamic PUCCH carrier switching from source carrier to target carrier</w:t>
      </w:r>
      <w:r w:rsidRPr="007F6C93">
        <w:t xml:space="preserve">, </w:t>
      </w:r>
      <w:r>
        <w:t xml:space="preserve">target carrier should be same or higher SCS than of source carrier. </w:t>
      </w:r>
    </w:p>
    <w:p w14:paraId="4C1053F3" w14:textId="77777777" w:rsidR="00423842" w:rsidRPr="00561DDF" w:rsidRDefault="00423842" w:rsidP="00A96670">
      <w:pPr>
        <w:pStyle w:val="Doc"/>
        <w:rPr>
          <w:lang w:val="en-GB"/>
        </w:rPr>
      </w:pPr>
    </w:p>
    <w:p w14:paraId="66905607" w14:textId="5E3FE718" w:rsidR="00A96670" w:rsidRPr="00561DDF" w:rsidRDefault="0043048C" w:rsidP="00561DDF">
      <w:pPr>
        <w:pStyle w:val="subheader"/>
        <w:ind w:hanging="360"/>
      </w:pPr>
      <w:r>
        <w:t>Enhanced type-3</w:t>
      </w:r>
      <w:r w:rsidR="004406AF" w:rsidRPr="007F6C93">
        <w:t xml:space="preserve"> HARQ-ACK</w:t>
      </w:r>
      <w:r>
        <w:t xml:space="preserve"> codebook for HARQ-ACK re-transmission</w:t>
      </w:r>
    </w:p>
    <w:p w14:paraId="1115FA5D" w14:textId="1C5E5516" w:rsidR="0037451F" w:rsidRDefault="004406AF" w:rsidP="008B6B11">
      <w:pPr>
        <w:pStyle w:val="Doc"/>
      </w:pPr>
      <w:r w:rsidRPr="007F6C93">
        <w:t xml:space="preserve">In </w:t>
      </w:r>
      <w:r w:rsidR="001A4961" w:rsidRPr="007F6C93">
        <w:t xml:space="preserve">the last meeting, it has been discussed whether to </w:t>
      </w:r>
      <w:r w:rsidR="0043048C">
        <w:t xml:space="preserve">support enhanced </w:t>
      </w:r>
      <w:r w:rsidR="0037451F">
        <w:t>type-3 HARQ-ACK codebook as a method for</w:t>
      </w:r>
      <w:r w:rsidR="001A4961" w:rsidRPr="007F6C93">
        <w:t xml:space="preserve"> re-transmission of cancelled HARQ-ACK transmission.</w:t>
      </w:r>
      <w:r w:rsidR="0037451F">
        <w:t xml:space="preserve"> There </w:t>
      </w:r>
      <w:r w:rsidR="00323053">
        <w:rPr>
          <w:rFonts w:hint="eastAsia"/>
        </w:rPr>
        <w:t xml:space="preserve">was </w:t>
      </w:r>
      <w:r w:rsidR="0037451F">
        <w:t xml:space="preserve">considerable number of companies supporting enhanced type-3 codebook but the discussion couldn’t reach a consensus yet. </w:t>
      </w:r>
    </w:p>
    <w:p w14:paraId="7521DACC" w14:textId="0F5C28EB" w:rsidR="0037451F" w:rsidRDefault="0037451F" w:rsidP="008B6B11">
      <w:pPr>
        <w:pStyle w:val="Doc"/>
      </w:pPr>
      <w:r>
        <w:lastRenderedPageBreak/>
        <w:t>The main issue is whether/how to enhance type-3 HARQ-ACK codebook. This is the definition of enhanced type 3 codebook in the latest proposal.</w:t>
      </w:r>
    </w:p>
    <w:tbl>
      <w:tblPr>
        <w:tblStyle w:val="a6"/>
        <w:tblW w:w="0" w:type="auto"/>
        <w:tblLook w:val="04A0" w:firstRow="1" w:lastRow="0" w:firstColumn="1" w:lastColumn="0" w:noHBand="0" w:noVBand="1"/>
      </w:tblPr>
      <w:tblGrid>
        <w:gridCol w:w="9628"/>
      </w:tblGrid>
      <w:tr w:rsidR="0037451F" w14:paraId="32EEC0DD" w14:textId="77777777" w:rsidTr="0037451F">
        <w:tc>
          <w:tcPr>
            <w:tcW w:w="9628" w:type="dxa"/>
          </w:tcPr>
          <w:p w14:paraId="4848AFFF" w14:textId="5C99E255" w:rsidR="0037451F" w:rsidRPr="00561DDF" w:rsidRDefault="0037451F" w:rsidP="00561DDF">
            <w:pPr>
              <w:pStyle w:val="Doc"/>
              <w:ind w:firstLineChars="0"/>
              <w:rPr>
                <w:i/>
              </w:rPr>
            </w:pPr>
            <w:r w:rsidRPr="00561DDF">
              <w:rPr>
                <w:i/>
              </w:rPr>
              <w:t xml:space="preserve">Definition of enhanced Type 3 CB: </w:t>
            </w:r>
          </w:p>
          <w:p w14:paraId="27949B29" w14:textId="4342F67A" w:rsidR="0037451F" w:rsidRPr="00561DDF" w:rsidRDefault="0037451F" w:rsidP="00561DDF">
            <w:pPr>
              <w:pStyle w:val="Doc"/>
              <w:numPr>
                <w:ilvl w:val="0"/>
                <w:numId w:val="38"/>
              </w:numPr>
              <w:ind w:firstLineChars="0"/>
              <w:rPr>
                <w:i/>
              </w:rPr>
            </w:pPr>
            <w:r w:rsidRPr="00561DDF">
              <w:rPr>
                <w:i/>
              </w:rPr>
              <w:t xml:space="preserve">The codebook size of a single triggered enhanced Type 3 HARQ-ACK codebook is not flexible, but at least determined by RRC configuration, activation </w:t>
            </w:r>
          </w:p>
          <w:p w14:paraId="0B113F5A" w14:textId="32CB21D2" w:rsidR="0037451F" w:rsidRPr="00561DDF" w:rsidRDefault="0037451F" w:rsidP="00561DDF">
            <w:pPr>
              <w:pStyle w:val="Doc"/>
              <w:numPr>
                <w:ilvl w:val="0"/>
                <w:numId w:val="38"/>
              </w:numPr>
              <w:ind w:firstLineChars="0"/>
              <w:rPr>
                <w:i/>
              </w:rPr>
            </w:pPr>
            <w:r w:rsidRPr="00561DDF">
              <w:rPr>
                <w:i/>
              </w:rPr>
              <w:t>This may include dynamic DCI indication of triggering one of M applicable enhanced Type 3 CBs (combination of RRC configuration and DCI indication, e.g. different subset of cells / HARQ processes, SPS HARQ only, …)</w:t>
            </w:r>
          </w:p>
          <w:p w14:paraId="28933897" w14:textId="057F3EAF" w:rsidR="0037451F" w:rsidRPr="00253DE3" w:rsidRDefault="0037451F" w:rsidP="00561DDF">
            <w:pPr>
              <w:pStyle w:val="Doc"/>
              <w:numPr>
                <w:ilvl w:val="0"/>
                <w:numId w:val="38"/>
              </w:numPr>
              <w:ind w:firstLineChars="0"/>
            </w:pPr>
            <w:r w:rsidRPr="00561DDF">
              <w:rPr>
                <w:i/>
              </w:rPr>
              <w:t>The codebook construction uses HARQ processes as a bases (i.e. ordered according to HARQ-IDs and serving cells)</w:t>
            </w:r>
          </w:p>
        </w:tc>
      </w:tr>
    </w:tbl>
    <w:p w14:paraId="0B9C7627" w14:textId="77777777" w:rsidR="00B2002E" w:rsidRDefault="00B2002E" w:rsidP="008B6B11">
      <w:pPr>
        <w:pStyle w:val="Doc"/>
      </w:pPr>
    </w:p>
    <w:p w14:paraId="619F6C9D" w14:textId="27CD93EB" w:rsidR="0037451F" w:rsidRDefault="00123EC6" w:rsidP="008B6B11">
      <w:pPr>
        <w:pStyle w:val="Doc"/>
      </w:pPr>
      <w:r>
        <w:t xml:space="preserve">Under the definition, we can see </w:t>
      </w:r>
      <w:r w:rsidR="00323053">
        <w:t xml:space="preserve">some </w:t>
      </w:r>
      <w:r>
        <w:t>aspect</w:t>
      </w:r>
      <w:r w:rsidR="00323053">
        <w:t>s</w:t>
      </w:r>
      <w:r>
        <w:t xml:space="preserve"> of enhancement on type-3 HARQ-ACK codebook. First of all, it has to be considered how to construct HARQ-ACK codebook. After that, we may be able to discuss how to trigger that HARQ-ACK codebook and other potential issues such as priority handling. </w:t>
      </w:r>
    </w:p>
    <w:p w14:paraId="518EEF0D" w14:textId="0091C5EF" w:rsidR="00043058" w:rsidRDefault="00123EC6" w:rsidP="00423842">
      <w:pPr>
        <w:pStyle w:val="Doc"/>
      </w:pPr>
      <w:r>
        <w:rPr>
          <w:rFonts w:hint="eastAsia"/>
        </w:rPr>
        <w:t xml:space="preserve">As an enhancement, we can consider to reduce HARQ-ACK </w:t>
      </w:r>
      <w:r>
        <w:t>payload</w:t>
      </w:r>
      <w:r>
        <w:rPr>
          <w:rFonts w:hint="eastAsia"/>
        </w:rPr>
        <w:t xml:space="preserve"> </w:t>
      </w:r>
      <w:r>
        <w:t xml:space="preserve">size for higher reliability. </w:t>
      </w:r>
      <w:r w:rsidR="00FC391B" w:rsidRPr="007F6C93">
        <w:t xml:space="preserve">For example, </w:t>
      </w:r>
      <w:r w:rsidR="00EC3F66" w:rsidRPr="007F6C93">
        <w:t xml:space="preserve">UE may be </w:t>
      </w:r>
      <w:r w:rsidR="007C59F5" w:rsidRPr="007F6C93">
        <w:t>triggered</w:t>
      </w:r>
      <w:r w:rsidR="00EC3F66" w:rsidRPr="007F6C93">
        <w:t xml:space="preserve"> with </w:t>
      </w:r>
      <w:r w:rsidR="00FC391B" w:rsidRPr="007F6C93">
        <w:t>a set</w:t>
      </w:r>
      <w:r w:rsidR="00EC3F66" w:rsidRPr="007F6C93">
        <w:t xml:space="preserve"> of HARQ process</w:t>
      </w:r>
      <w:r w:rsidR="007C59F5" w:rsidRPr="007F6C93">
        <w:t xml:space="preserve"> (among all HARQ processes)</w:t>
      </w:r>
      <w:r w:rsidR="00EC3F66" w:rsidRPr="007F6C93">
        <w:t xml:space="preserve"> for type-3 </w:t>
      </w:r>
      <w:r w:rsidR="00FC391B" w:rsidRPr="007F6C93">
        <w:t>HARQ-ACK codebook</w:t>
      </w:r>
      <w:r w:rsidR="00753650" w:rsidRPr="007F6C93">
        <w:t>, and</w:t>
      </w:r>
      <w:r w:rsidR="00EC3F66" w:rsidRPr="007F6C93">
        <w:t xml:space="preserve"> </w:t>
      </w:r>
      <w:r w:rsidR="00323053">
        <w:t xml:space="preserve">candidate </w:t>
      </w:r>
      <w:r w:rsidR="00FC391B" w:rsidRPr="007F6C93">
        <w:t>set</w:t>
      </w:r>
      <w:r w:rsidR="00043058">
        <w:t>s</w:t>
      </w:r>
      <w:r w:rsidR="00FC391B" w:rsidRPr="007F6C93">
        <w:t xml:space="preserve"> of HARQ process</w:t>
      </w:r>
      <w:r w:rsidR="00043058">
        <w:t>es</w:t>
      </w:r>
      <w:r w:rsidR="00FC391B" w:rsidRPr="007F6C93">
        <w:t xml:space="preserve"> </w:t>
      </w:r>
      <w:r w:rsidR="00EC3F66" w:rsidRPr="007F6C93">
        <w:t>may be</w:t>
      </w:r>
      <w:r w:rsidR="00043058">
        <w:t xml:space="preserve"> configured</w:t>
      </w:r>
      <w:r w:rsidR="00EC3F66" w:rsidRPr="007F6C93">
        <w:t xml:space="preserve"> </w:t>
      </w:r>
      <w:r w:rsidR="00043058">
        <w:t>by RRC. By configuring multiple set</w:t>
      </w:r>
      <w:r w:rsidR="00323053">
        <w:t>s</w:t>
      </w:r>
      <w:r w:rsidR="00043058">
        <w:t xml:space="preserve"> of HARQ processes, gNB can adjust HARQ-ACK payload size according to dropped PDSCH scheduling.</w:t>
      </w:r>
    </w:p>
    <w:p w14:paraId="0FB5D361" w14:textId="73631E97" w:rsidR="00043058" w:rsidRDefault="00043058">
      <w:pPr>
        <w:pStyle w:val="Doc"/>
      </w:pPr>
      <w:r>
        <w:rPr>
          <w:rFonts w:hint="eastAsia"/>
        </w:rPr>
        <w:t xml:space="preserve">On the other hand, enhanced type-3 HARQ-ACK codebook can be applied for </w:t>
      </w:r>
      <w:r>
        <w:t>dropped</w:t>
      </w:r>
      <w:r>
        <w:rPr>
          <w:rFonts w:hint="eastAsia"/>
        </w:rPr>
        <w:t xml:space="preserve"> SPS HARQ-ACK transmission as </w:t>
      </w:r>
      <w:r>
        <w:t>complement</w:t>
      </w:r>
      <w:r w:rsidR="00323053">
        <w:t>ary</w:t>
      </w:r>
      <w:r>
        <w:rPr>
          <w:rFonts w:hint="eastAsia"/>
        </w:rPr>
        <w:t xml:space="preserve"> </w:t>
      </w:r>
      <w:r>
        <w:t xml:space="preserve">solution of SPS HARQ-ACK deferral. </w:t>
      </w:r>
      <w:r>
        <w:rPr>
          <w:rFonts w:hint="eastAsia"/>
        </w:rPr>
        <w:t>F</w:t>
      </w:r>
      <w:r>
        <w:t>or this, enhanced type-3 HARQ-ACK codebook can be constructed only with HARQ processes used for SPS PDSCH.</w:t>
      </w:r>
    </w:p>
    <w:p w14:paraId="3A5C26D4" w14:textId="64E8754F" w:rsidR="00EC3F66" w:rsidRPr="007F6C93" w:rsidRDefault="00043058">
      <w:pPr>
        <w:pStyle w:val="Doc"/>
      </w:pPr>
      <w:r>
        <w:t>From above consideration, we would like to propose following.</w:t>
      </w:r>
    </w:p>
    <w:p w14:paraId="6AFFB035" w14:textId="7F30660A" w:rsidR="00043058" w:rsidRDefault="00043058" w:rsidP="00043058">
      <w:pPr>
        <w:pStyle w:val="proposal"/>
      </w:pPr>
      <w:r w:rsidRPr="007F6C93">
        <w:t xml:space="preserve">Proposal </w:t>
      </w:r>
      <w:r w:rsidR="00561DDF">
        <w:t>4</w:t>
      </w:r>
      <w:r w:rsidRPr="007F6C93">
        <w:t xml:space="preserve">: Support </w:t>
      </w:r>
      <w:r>
        <w:t xml:space="preserve">enhanced </w:t>
      </w:r>
      <w:r w:rsidRPr="007F6C93">
        <w:t xml:space="preserve">type-3 HARQ-ACK codebook </w:t>
      </w:r>
      <w:r w:rsidR="00323053" w:rsidRPr="007F6C93">
        <w:t xml:space="preserve">with reduced HARQ-ACK payload size </w:t>
      </w:r>
      <w:r w:rsidRPr="007F6C93">
        <w:t>for re-transmission of cancelled HARQ-ACK if necessary.</w:t>
      </w:r>
    </w:p>
    <w:p w14:paraId="59BD110A" w14:textId="477F692A" w:rsidR="00043058" w:rsidRDefault="00043058" w:rsidP="00043058">
      <w:pPr>
        <w:pStyle w:val="proposal"/>
      </w:pPr>
      <w:r w:rsidRPr="007F6C93">
        <w:t xml:space="preserve">Proposal </w:t>
      </w:r>
      <w:r w:rsidR="00561DDF">
        <w:t>5</w:t>
      </w:r>
      <w:r w:rsidRPr="007F6C93">
        <w:t xml:space="preserve">: </w:t>
      </w:r>
      <w:r>
        <w:t>For constructi</w:t>
      </w:r>
      <w:r w:rsidR="00323053">
        <w:t>on of</w:t>
      </w:r>
      <w:r>
        <w:t xml:space="preserve"> </w:t>
      </w:r>
      <w:r w:rsidR="00323053">
        <w:t xml:space="preserve">the </w:t>
      </w:r>
      <w:r>
        <w:t xml:space="preserve">enhanced </w:t>
      </w:r>
      <w:r w:rsidRPr="007F6C93">
        <w:t>type-3 HARQ-ACK codebook</w:t>
      </w:r>
      <w:r w:rsidR="00323053" w:rsidRPr="00323053">
        <w:t xml:space="preserve"> </w:t>
      </w:r>
      <w:r w:rsidR="00323053" w:rsidRPr="007F6C93">
        <w:t>with reduced HARQ-ACK payload size</w:t>
      </w:r>
      <w:r>
        <w:t>, following options can be considered:</w:t>
      </w:r>
    </w:p>
    <w:p w14:paraId="324DDDBE" w14:textId="1D53831E" w:rsidR="00043058" w:rsidRDefault="00043058" w:rsidP="00561DDF">
      <w:pPr>
        <w:pStyle w:val="proposal"/>
        <w:numPr>
          <w:ilvl w:val="0"/>
          <w:numId w:val="39"/>
        </w:numPr>
      </w:pPr>
      <w:r>
        <w:rPr>
          <w:rFonts w:hint="eastAsia"/>
        </w:rPr>
        <w:t>Option 1:</w:t>
      </w:r>
      <w:r>
        <w:t xml:space="preserve"> type-3 HARQ-ACK codebook with subset of entire HARQ processes. </w:t>
      </w:r>
    </w:p>
    <w:p w14:paraId="27D9E327" w14:textId="597C4FCD" w:rsidR="00043058" w:rsidRDefault="00043058" w:rsidP="00561DDF">
      <w:pPr>
        <w:pStyle w:val="proposal"/>
        <w:numPr>
          <w:ilvl w:val="1"/>
          <w:numId w:val="39"/>
        </w:numPr>
      </w:pPr>
      <w:r>
        <w:t>Multiple subset of HARQ processes can be configured by RRC signaling.</w:t>
      </w:r>
    </w:p>
    <w:p w14:paraId="110E57AC" w14:textId="4B4AB7E9" w:rsidR="00043058" w:rsidRDefault="00043058" w:rsidP="00561DDF">
      <w:pPr>
        <w:pStyle w:val="proposal"/>
        <w:numPr>
          <w:ilvl w:val="1"/>
          <w:numId w:val="39"/>
        </w:numPr>
      </w:pPr>
      <w:r>
        <w:t>A subset of HARQ processes can be indicated in a DCI triggering type-3 HARQ-ACK codebook</w:t>
      </w:r>
      <w:r>
        <w:rPr>
          <w:rFonts w:hint="eastAsia"/>
        </w:rPr>
        <w:t xml:space="preserve"> for HARQ-ACK codebook construction. </w:t>
      </w:r>
    </w:p>
    <w:p w14:paraId="4CAB87B3" w14:textId="631F52A8" w:rsidR="00043058" w:rsidRDefault="00043058" w:rsidP="00561DDF">
      <w:pPr>
        <w:pStyle w:val="proposal"/>
        <w:numPr>
          <w:ilvl w:val="0"/>
          <w:numId w:val="39"/>
        </w:numPr>
      </w:pPr>
      <w:r>
        <w:t>Option 2: type-3 HARQ-ACK codebook with HARQ processes used in SPS PDSCH reception.</w:t>
      </w:r>
    </w:p>
    <w:p w14:paraId="0C7E44BA" w14:textId="77777777" w:rsidR="00043058" w:rsidRPr="007F6C93" w:rsidRDefault="00043058" w:rsidP="00253DE3">
      <w:pPr>
        <w:pStyle w:val="proposal"/>
      </w:pPr>
    </w:p>
    <w:p w14:paraId="4287405D" w14:textId="09C0E755" w:rsidR="00043058" w:rsidRDefault="00043058" w:rsidP="00561DDF">
      <w:pPr>
        <w:pStyle w:val="Doc"/>
      </w:pPr>
      <w:r>
        <w:rPr>
          <w:rFonts w:hint="eastAsia"/>
        </w:rPr>
        <w:lastRenderedPageBreak/>
        <w:t>Considering above, new triggering methods may be necessary</w:t>
      </w:r>
      <w:r w:rsidR="00771E8B">
        <w:rPr>
          <w:rFonts w:hint="eastAsia"/>
        </w:rPr>
        <w:t xml:space="preserve"> </w:t>
      </w:r>
      <w:r w:rsidR="00771E8B">
        <w:t xml:space="preserve">at least for distinguish enhanced HARQ-ACK codebook from existing one. </w:t>
      </w:r>
      <w:r w:rsidR="005B6824">
        <w:t xml:space="preserve">As a baseline of triggering type-3 HARQ-ACK CB, current framework can be considered. Therefore, new triggering methods would be an extension of DCI field of </w:t>
      </w:r>
      <w:r w:rsidR="005B6824" w:rsidRPr="005B6824">
        <w:t>One-shot HARQ-ACK request field</w:t>
      </w:r>
      <w:r w:rsidR="005B6824">
        <w:t>.</w:t>
      </w:r>
    </w:p>
    <w:p w14:paraId="7100C6C4" w14:textId="454E0F9A" w:rsidR="00771E8B" w:rsidRDefault="00771E8B" w:rsidP="00561DDF">
      <w:pPr>
        <w:pStyle w:val="Doc"/>
      </w:pPr>
      <w:r>
        <w:t>For Option 1, it is possible to configure entire HARQ process as a subset of HARQ processes. Therefore, Option 1 could be a superset of existing type-3 HARQ-ACK CB. With indication of HARQ process subsets, gNB is able to choose between enhanced type-3 CB and existing type-3 C</w:t>
      </w:r>
      <w:r>
        <w:rPr>
          <w:rFonts w:hint="eastAsia"/>
        </w:rPr>
        <w:t xml:space="preserve">B. </w:t>
      </w:r>
    </w:p>
    <w:p w14:paraId="5EB96B33" w14:textId="41E2F61D" w:rsidR="00771E8B" w:rsidRDefault="00771E8B" w:rsidP="00561DDF">
      <w:pPr>
        <w:pStyle w:val="Doc"/>
      </w:pPr>
      <w:r>
        <w:rPr>
          <w:rFonts w:hint="eastAsia"/>
        </w:rPr>
        <w:t xml:space="preserve">For Option 2, enhanced type-3 CB can be distinguished by RNTI scrambling CRC. </w:t>
      </w:r>
      <w:r>
        <w:t>For example, CS-RNTI can be used for type-3 HARQ-ACK CB for SPS PDSCH.</w:t>
      </w:r>
    </w:p>
    <w:p w14:paraId="469C2383" w14:textId="5156C6AB" w:rsidR="005B6824" w:rsidRDefault="005B6824" w:rsidP="005B6824">
      <w:pPr>
        <w:pStyle w:val="proposal"/>
      </w:pPr>
      <w:r w:rsidRPr="007F6C93">
        <w:t xml:space="preserve">Proposal </w:t>
      </w:r>
      <w:r w:rsidR="00561DDF">
        <w:t>6</w:t>
      </w:r>
      <w:r w:rsidRPr="007F6C93">
        <w:t xml:space="preserve">: </w:t>
      </w:r>
      <w:r>
        <w:t xml:space="preserve">For triggering method enhanced </w:t>
      </w:r>
      <w:r w:rsidRPr="007F6C93">
        <w:t xml:space="preserve">type-3 HARQ-ACK codebook </w:t>
      </w:r>
      <w:r w:rsidR="00B1458D" w:rsidRPr="007F6C93">
        <w:t>with reduced HARQ-ACK payload size</w:t>
      </w:r>
      <w:r>
        <w:t>, following options can be considered on the top of current framework. :</w:t>
      </w:r>
    </w:p>
    <w:p w14:paraId="759692E0" w14:textId="4305C789" w:rsidR="005B6824" w:rsidRDefault="005B6824" w:rsidP="00561DDF">
      <w:pPr>
        <w:pStyle w:val="proposal"/>
        <w:numPr>
          <w:ilvl w:val="1"/>
          <w:numId w:val="39"/>
        </w:numPr>
      </w:pPr>
      <w:r>
        <w:rPr>
          <w:rFonts w:hint="eastAsia"/>
        </w:rPr>
        <w:t>Option 1:</w:t>
      </w:r>
      <w:r>
        <w:t xml:space="preserve"> triggering DCI indicates a</w:t>
      </w:r>
      <w:r w:rsidRPr="005B6824">
        <w:t xml:space="preserve"> subset of HARQ processes </w:t>
      </w:r>
      <w:r>
        <w:t xml:space="preserve">for the HARQ-ACK codebook. Existing DCI field (e.g., </w:t>
      </w:r>
      <w:r w:rsidRPr="005B6824">
        <w:t>One-shot HARQ-ACK request field</w:t>
      </w:r>
      <w:r>
        <w:t xml:space="preserve">) can be re-used or extended for indicating a subset of HARQ process. </w:t>
      </w:r>
    </w:p>
    <w:p w14:paraId="3B088D27" w14:textId="2E51A3D3" w:rsidR="00771E8B" w:rsidRPr="00253DE3" w:rsidRDefault="005B6824" w:rsidP="00561DDF">
      <w:pPr>
        <w:pStyle w:val="proposal"/>
        <w:numPr>
          <w:ilvl w:val="1"/>
          <w:numId w:val="39"/>
        </w:numPr>
      </w:pPr>
      <w:r>
        <w:t xml:space="preserve">Option 2: RNTI scrambling CRC of DCI format can indicates how to construct type-3 HARQ-ACK codebook. </w:t>
      </w:r>
    </w:p>
    <w:p w14:paraId="7A3A829F" w14:textId="77777777" w:rsidR="00B1458D" w:rsidRPr="00561DDF" w:rsidRDefault="00B1458D" w:rsidP="00561DDF">
      <w:pPr>
        <w:pStyle w:val="proposal"/>
        <w:rPr>
          <w:highlight w:val="yellow"/>
        </w:rPr>
      </w:pPr>
    </w:p>
    <w:p w14:paraId="470FADCF" w14:textId="77777777" w:rsidR="004C7A27" w:rsidRDefault="005B6824" w:rsidP="00123EC6">
      <w:pPr>
        <w:pStyle w:val="Doc"/>
        <w:rPr>
          <w:lang w:val="en-GB"/>
        </w:rPr>
      </w:pPr>
      <w:r>
        <w:rPr>
          <w:rFonts w:hint="eastAsia"/>
          <w:lang w:val="en-GB"/>
        </w:rPr>
        <w:t xml:space="preserve">In the previous meetings, it has been discussed how to handle priority indication in a DCI format triggering type-3 HARQ-ACK codebook. </w:t>
      </w:r>
      <w:r>
        <w:rPr>
          <w:lang w:val="en-GB"/>
        </w:rPr>
        <w:t xml:space="preserve">Considering that HARQ processes are independent from priorities, it seems not necessary to consider priority at least for dynamic PDSCH. </w:t>
      </w:r>
    </w:p>
    <w:p w14:paraId="0D46AC64" w14:textId="2F75AAD6" w:rsidR="005B6824" w:rsidRDefault="005B6824" w:rsidP="00123EC6">
      <w:pPr>
        <w:pStyle w:val="Doc"/>
        <w:rPr>
          <w:lang w:val="en-GB"/>
        </w:rPr>
      </w:pPr>
      <w:r>
        <w:rPr>
          <w:lang w:val="en-GB"/>
        </w:rPr>
        <w:t xml:space="preserve">On the other hand, each SPS configuration has </w:t>
      </w:r>
      <w:r w:rsidR="004C7A27">
        <w:rPr>
          <w:lang w:val="en-GB"/>
        </w:rPr>
        <w:t>own priority index and corresponding HARQ process indexes. Thus, UE can distinguish HARQ process for high priority SPS PDSCH and low priority SPS PDSCH without any ambiguity. By doing so, HARQ-ACK payload size can be reduced further and protect HARQ-ACK for  high priority SPS PDSCH from uplink collision.</w:t>
      </w:r>
    </w:p>
    <w:p w14:paraId="1E214DB3" w14:textId="587EF6DC" w:rsidR="004C7A27" w:rsidRDefault="004C7A27" w:rsidP="004C7A27">
      <w:pPr>
        <w:pStyle w:val="proposal"/>
      </w:pPr>
      <w:r w:rsidRPr="007F6C93">
        <w:t xml:space="preserve">Proposal </w:t>
      </w:r>
      <w:r w:rsidR="00561DDF">
        <w:t>7</w:t>
      </w:r>
      <w:r w:rsidRPr="007F6C93">
        <w:t>:</w:t>
      </w:r>
      <w:r>
        <w:t xml:space="preserve"> For type-3 HARQ-ACK codebook only for SPS PDSCH, priority handling can be considered. </w:t>
      </w:r>
    </w:p>
    <w:p w14:paraId="6E21C9BD" w14:textId="77777777" w:rsidR="00B1458D" w:rsidRDefault="00B1458D" w:rsidP="004C7A27">
      <w:pPr>
        <w:pStyle w:val="proposal"/>
      </w:pPr>
    </w:p>
    <w:p w14:paraId="2CD89F90" w14:textId="77777777" w:rsidR="00270818" w:rsidRPr="007F6C93" w:rsidRDefault="00270818" w:rsidP="00B057AD">
      <w:pPr>
        <w:pStyle w:val="1"/>
      </w:pPr>
      <w:r w:rsidRPr="007F6C93">
        <w:t>Conclusions</w:t>
      </w:r>
    </w:p>
    <w:p w14:paraId="0C4E32CD" w14:textId="59CB2740" w:rsidR="007F6C93" w:rsidRDefault="0052000E">
      <w:pPr>
        <w:pStyle w:val="Doc"/>
      </w:pPr>
      <w:r w:rsidRPr="00AE4400">
        <w:t xml:space="preserve">In this contribution, </w:t>
      </w:r>
      <w:r w:rsidR="00A6216B" w:rsidRPr="00AE4400">
        <w:t xml:space="preserve">potential </w:t>
      </w:r>
      <w:r w:rsidR="007A55DC" w:rsidRPr="00AE4400">
        <w:t>UE feedback enhancement</w:t>
      </w:r>
      <w:r w:rsidR="00A04E72" w:rsidRPr="00AE4400">
        <w:t>s</w:t>
      </w:r>
      <w:r w:rsidR="007A55DC" w:rsidRPr="00AE4400">
        <w:t xml:space="preserve"> </w:t>
      </w:r>
      <w:r w:rsidR="00A6216B" w:rsidRPr="00AE4400">
        <w:t xml:space="preserve">on </w:t>
      </w:r>
      <w:r w:rsidR="007A55DC" w:rsidRPr="00AE4400">
        <w:t>HARQ-ACK</w:t>
      </w:r>
      <w:r w:rsidR="00A6216B" w:rsidRPr="00AE4400">
        <w:t xml:space="preserve"> for URLLC</w:t>
      </w:r>
      <w:r w:rsidR="00313021" w:rsidRPr="00AE4400">
        <w:t xml:space="preserve"> were discussed</w:t>
      </w:r>
      <w:r w:rsidR="0091245C" w:rsidRPr="00AE4400">
        <w:t xml:space="preserve">, </w:t>
      </w:r>
      <w:r w:rsidR="00BC0709" w:rsidRPr="00AE4400">
        <w:t>and the followings are proposed.</w:t>
      </w:r>
    </w:p>
    <w:p w14:paraId="30B4EB7D" w14:textId="77777777" w:rsidR="00561DDF" w:rsidRPr="007F6C93" w:rsidRDefault="00561DDF" w:rsidP="00561DDF">
      <w:pPr>
        <w:pStyle w:val="proposal"/>
      </w:pPr>
      <w:r w:rsidRPr="007F6C93">
        <w:t xml:space="preserve">Proposal </w:t>
      </w:r>
      <w:r>
        <w:t>1</w:t>
      </w:r>
      <w:r w:rsidRPr="007F6C93">
        <w:t xml:space="preserve">: If there is a consensus that </w:t>
      </w:r>
      <w:r>
        <w:t>dynamic PUCCH carrier switching</w:t>
      </w:r>
      <w:r w:rsidRPr="007F6C93">
        <w:t xml:space="preserve"> is necessary, PUCCH carrier switching based on dynamic indication in DCI can be supported</w:t>
      </w:r>
    </w:p>
    <w:p w14:paraId="27BAEE68" w14:textId="77777777" w:rsidR="00561DDF" w:rsidRDefault="00561DDF" w:rsidP="00561DDF">
      <w:pPr>
        <w:pStyle w:val="proposal"/>
        <w:numPr>
          <w:ilvl w:val="0"/>
          <w:numId w:val="37"/>
        </w:numPr>
      </w:pPr>
      <w:r w:rsidRPr="007F6C93">
        <w:t>To indicate switched carrier, a DCI field is added to DL scheduling DCI.</w:t>
      </w:r>
    </w:p>
    <w:p w14:paraId="4958D702" w14:textId="77777777" w:rsidR="00561DDF" w:rsidRPr="007F6C93" w:rsidRDefault="00561DDF" w:rsidP="00561DDF">
      <w:pPr>
        <w:pStyle w:val="proposal"/>
        <w:numPr>
          <w:ilvl w:val="0"/>
          <w:numId w:val="37"/>
        </w:numPr>
      </w:pPr>
      <w:r>
        <w:lastRenderedPageBreak/>
        <w:t xml:space="preserve">If there are overlapping PUCCHs with the PUCCH indicated with carrier indication, overlapping PUCCHs are multiplexed and transmitted in switched PUCCH carrier by the indication. </w:t>
      </w:r>
    </w:p>
    <w:p w14:paraId="51C91F7C" w14:textId="77777777" w:rsidR="00561DDF" w:rsidRDefault="00561DDF" w:rsidP="00561DDF">
      <w:pPr>
        <w:pStyle w:val="proposal"/>
      </w:pPr>
    </w:p>
    <w:p w14:paraId="703D4FA6" w14:textId="77777777" w:rsidR="00561DDF" w:rsidRDefault="00561DDF" w:rsidP="00561DDF">
      <w:pPr>
        <w:pStyle w:val="proposal"/>
      </w:pPr>
      <w:r w:rsidRPr="007F6C93">
        <w:t xml:space="preserve">Proposal </w:t>
      </w:r>
      <w:r>
        <w:t>2</w:t>
      </w:r>
      <w:r w:rsidRPr="007F6C93">
        <w:t xml:space="preserve">: </w:t>
      </w:r>
      <w:r>
        <w:t xml:space="preserve">For HARQ-ACK PUCCH for SPS PDSCH </w:t>
      </w:r>
      <w:r>
        <w:rPr>
          <w:rFonts w:hint="eastAsia"/>
        </w:rPr>
        <w:t>itself</w:t>
      </w:r>
      <w:r w:rsidRPr="007F6C93">
        <w:t xml:space="preserve">, </w:t>
      </w:r>
      <w:r>
        <w:t xml:space="preserve">dynamic </w:t>
      </w:r>
      <w:r w:rsidRPr="007F6C93">
        <w:t>PUCCH carrier switching</w:t>
      </w:r>
      <w:r>
        <w:t xml:space="preserve"> is not supported. </w:t>
      </w:r>
    </w:p>
    <w:p w14:paraId="7B259108" w14:textId="77777777" w:rsidR="00561DDF" w:rsidRDefault="00561DDF" w:rsidP="00561DDF">
      <w:pPr>
        <w:pStyle w:val="proposal"/>
        <w:numPr>
          <w:ilvl w:val="0"/>
          <w:numId w:val="40"/>
        </w:numPr>
      </w:pPr>
      <w:r>
        <w:t>Carrier indication in activation DCI is ignored for SPS PDSCH without corresponding DCI</w:t>
      </w:r>
    </w:p>
    <w:p w14:paraId="4817BD61" w14:textId="77777777" w:rsidR="00561DDF" w:rsidRDefault="00561DDF" w:rsidP="00561DDF">
      <w:pPr>
        <w:pStyle w:val="proposal"/>
      </w:pPr>
    </w:p>
    <w:p w14:paraId="252C715F" w14:textId="77777777" w:rsidR="00561DDF" w:rsidRDefault="00561DDF" w:rsidP="00561DDF">
      <w:pPr>
        <w:pStyle w:val="proposal"/>
      </w:pPr>
      <w:r w:rsidRPr="007F6C93">
        <w:t xml:space="preserve">Proposal </w:t>
      </w:r>
      <w:r>
        <w:t>3</w:t>
      </w:r>
      <w:r w:rsidRPr="007F6C93">
        <w:t xml:space="preserve">: </w:t>
      </w:r>
      <w:r>
        <w:t>For dynamic PUCCH carrier switching from source carrier to target carrier</w:t>
      </w:r>
      <w:r w:rsidRPr="007F6C93">
        <w:t xml:space="preserve">, </w:t>
      </w:r>
      <w:r>
        <w:t xml:space="preserve">target carrier should be same or higher SCS than of source carrier. </w:t>
      </w:r>
    </w:p>
    <w:p w14:paraId="486E3C9A" w14:textId="77777777" w:rsidR="00561DDF" w:rsidRDefault="00561DDF" w:rsidP="00561DDF">
      <w:pPr>
        <w:pStyle w:val="proposal"/>
      </w:pPr>
    </w:p>
    <w:p w14:paraId="35060A2D" w14:textId="77777777" w:rsidR="00561DDF" w:rsidRDefault="00561DDF" w:rsidP="00561DDF">
      <w:pPr>
        <w:pStyle w:val="proposal"/>
      </w:pPr>
      <w:r w:rsidRPr="007F6C93">
        <w:t xml:space="preserve">Proposal </w:t>
      </w:r>
      <w:r>
        <w:t>4</w:t>
      </w:r>
      <w:r w:rsidRPr="007F6C93">
        <w:t xml:space="preserve">: Support </w:t>
      </w:r>
      <w:r>
        <w:t xml:space="preserve">enhanced </w:t>
      </w:r>
      <w:r w:rsidRPr="007F6C93">
        <w:t>type-3 HARQ-ACK codebook with reduced HARQ-ACK payload size for re-transmission of cancelled HARQ-ACK if necessary.</w:t>
      </w:r>
    </w:p>
    <w:p w14:paraId="17919E2F" w14:textId="77777777" w:rsidR="00561DDF" w:rsidRDefault="00561DDF" w:rsidP="00561DDF">
      <w:pPr>
        <w:pStyle w:val="proposal"/>
      </w:pPr>
    </w:p>
    <w:p w14:paraId="43C130D2" w14:textId="77777777" w:rsidR="00561DDF" w:rsidRDefault="00561DDF" w:rsidP="00561DDF">
      <w:pPr>
        <w:pStyle w:val="proposal"/>
      </w:pPr>
      <w:r w:rsidRPr="007F6C93">
        <w:t xml:space="preserve">Proposal </w:t>
      </w:r>
      <w:r>
        <w:t>5</w:t>
      </w:r>
      <w:r w:rsidRPr="007F6C93">
        <w:t xml:space="preserve">: </w:t>
      </w:r>
      <w:r>
        <w:t xml:space="preserve">For construction of the enhanced </w:t>
      </w:r>
      <w:r w:rsidRPr="007F6C93">
        <w:t>type-3 HARQ-ACK codebook</w:t>
      </w:r>
      <w:r w:rsidRPr="00323053">
        <w:t xml:space="preserve"> </w:t>
      </w:r>
      <w:r w:rsidRPr="007F6C93">
        <w:t>with reduced HARQ-ACK payload size</w:t>
      </w:r>
      <w:r>
        <w:t>, following options can be considered:</w:t>
      </w:r>
    </w:p>
    <w:p w14:paraId="657AC546" w14:textId="77777777" w:rsidR="00561DDF" w:rsidRDefault="00561DDF" w:rsidP="00561DDF">
      <w:pPr>
        <w:pStyle w:val="proposal"/>
        <w:numPr>
          <w:ilvl w:val="0"/>
          <w:numId w:val="39"/>
        </w:numPr>
      </w:pPr>
      <w:r>
        <w:rPr>
          <w:rFonts w:hint="eastAsia"/>
        </w:rPr>
        <w:t>Option 1:</w:t>
      </w:r>
      <w:r>
        <w:t xml:space="preserve"> type-3 HARQ-ACK codebook with subset of entire HARQ processes. </w:t>
      </w:r>
    </w:p>
    <w:p w14:paraId="31EEF83B" w14:textId="77777777" w:rsidR="00561DDF" w:rsidRDefault="00561DDF" w:rsidP="00561DDF">
      <w:pPr>
        <w:pStyle w:val="proposal"/>
        <w:numPr>
          <w:ilvl w:val="1"/>
          <w:numId w:val="39"/>
        </w:numPr>
      </w:pPr>
      <w:r>
        <w:t>Multiple subset of HARQ processes can be configured by RRC signaling.</w:t>
      </w:r>
    </w:p>
    <w:p w14:paraId="37B5B531" w14:textId="77777777" w:rsidR="00561DDF" w:rsidRDefault="00561DDF" w:rsidP="00561DDF">
      <w:pPr>
        <w:pStyle w:val="proposal"/>
        <w:numPr>
          <w:ilvl w:val="1"/>
          <w:numId w:val="39"/>
        </w:numPr>
      </w:pPr>
      <w:r>
        <w:t>A subset of HARQ processes can be indicated in a DCI triggering type-3 HARQ-ACK codebook</w:t>
      </w:r>
      <w:r>
        <w:rPr>
          <w:rFonts w:hint="eastAsia"/>
        </w:rPr>
        <w:t xml:space="preserve"> for HARQ-ACK codebook construction. </w:t>
      </w:r>
    </w:p>
    <w:p w14:paraId="50F4F6C3" w14:textId="77777777" w:rsidR="00561DDF" w:rsidRDefault="00561DDF" w:rsidP="00561DDF">
      <w:pPr>
        <w:pStyle w:val="proposal"/>
        <w:numPr>
          <w:ilvl w:val="0"/>
          <w:numId w:val="39"/>
        </w:numPr>
      </w:pPr>
      <w:r>
        <w:t>Option 2: type-3 HARQ-ACK codebook with HARQ processes used in SPS PDSCH reception.</w:t>
      </w:r>
    </w:p>
    <w:p w14:paraId="1E78B3AC" w14:textId="77777777" w:rsidR="00561DDF" w:rsidRDefault="00561DDF" w:rsidP="00561DDF">
      <w:pPr>
        <w:pStyle w:val="proposal"/>
      </w:pPr>
    </w:p>
    <w:p w14:paraId="2AC6E3A1" w14:textId="77777777" w:rsidR="00561DDF" w:rsidRDefault="00561DDF" w:rsidP="00561DDF">
      <w:pPr>
        <w:pStyle w:val="proposal"/>
      </w:pPr>
      <w:r w:rsidRPr="007F6C93">
        <w:t xml:space="preserve">Proposal </w:t>
      </w:r>
      <w:r>
        <w:t>6</w:t>
      </w:r>
      <w:r w:rsidRPr="007F6C93">
        <w:t xml:space="preserve">: </w:t>
      </w:r>
      <w:r>
        <w:t xml:space="preserve">For triggering method enhanced </w:t>
      </w:r>
      <w:r w:rsidRPr="007F6C93">
        <w:t>type-3 HARQ-ACK codebook with reduced HARQ-ACK payload size</w:t>
      </w:r>
      <w:r>
        <w:t>, following options can be considered on the top of current framework. :</w:t>
      </w:r>
    </w:p>
    <w:p w14:paraId="2B1753F5" w14:textId="77777777" w:rsidR="00561DDF" w:rsidRDefault="00561DDF" w:rsidP="00561DDF">
      <w:pPr>
        <w:pStyle w:val="proposal"/>
        <w:numPr>
          <w:ilvl w:val="1"/>
          <w:numId w:val="39"/>
        </w:numPr>
      </w:pPr>
      <w:r>
        <w:rPr>
          <w:rFonts w:hint="eastAsia"/>
        </w:rPr>
        <w:t>Option 1:</w:t>
      </w:r>
      <w:r>
        <w:t xml:space="preserve"> triggering DCI indicates a</w:t>
      </w:r>
      <w:r w:rsidRPr="005B6824">
        <w:t xml:space="preserve"> subset of HARQ processes </w:t>
      </w:r>
      <w:r>
        <w:t xml:space="preserve">for the HARQ-ACK codebook. Existing DCI field (e.g., </w:t>
      </w:r>
      <w:r w:rsidRPr="005B6824">
        <w:t>One-shot HARQ-ACK request field</w:t>
      </w:r>
      <w:r>
        <w:t xml:space="preserve">) can be re-used or extended for indicating a subset of HARQ process. </w:t>
      </w:r>
    </w:p>
    <w:p w14:paraId="38FCA7E2" w14:textId="77777777" w:rsidR="00561DDF" w:rsidRPr="00253DE3" w:rsidRDefault="00561DDF" w:rsidP="00561DDF">
      <w:pPr>
        <w:pStyle w:val="proposal"/>
        <w:numPr>
          <w:ilvl w:val="1"/>
          <w:numId w:val="39"/>
        </w:numPr>
      </w:pPr>
      <w:r>
        <w:t xml:space="preserve">Option 2: RNTI scrambling CRC of DCI format can indicates how to construct type-3 HARQ-ACK codebook. </w:t>
      </w:r>
    </w:p>
    <w:p w14:paraId="4FC166B0" w14:textId="77777777" w:rsidR="00561DDF" w:rsidRPr="00561DDF" w:rsidRDefault="00561DDF" w:rsidP="00561DDF">
      <w:pPr>
        <w:pStyle w:val="proposal"/>
        <w:rPr>
          <w:highlight w:val="yellow"/>
        </w:rPr>
      </w:pPr>
    </w:p>
    <w:p w14:paraId="498D42C2" w14:textId="77777777" w:rsidR="00561DDF" w:rsidRDefault="00561DDF" w:rsidP="00561DDF">
      <w:pPr>
        <w:pStyle w:val="proposal"/>
      </w:pPr>
      <w:r w:rsidRPr="007F6C93">
        <w:t xml:space="preserve">Proposal </w:t>
      </w:r>
      <w:r>
        <w:t>7</w:t>
      </w:r>
      <w:r w:rsidRPr="007F6C93">
        <w:t>:</w:t>
      </w:r>
      <w:r>
        <w:t xml:space="preserve"> For type-3 HARQ-ACK codebook only for SPS PDSCH, priority handling can be considered. </w:t>
      </w:r>
    </w:p>
    <w:p w14:paraId="48B8A9BC" w14:textId="77777777" w:rsidR="009E12C3" w:rsidRPr="007F6C93" w:rsidRDefault="009E12C3" w:rsidP="00B057AD">
      <w:pPr>
        <w:pStyle w:val="1"/>
      </w:pPr>
      <w:r w:rsidRPr="007F6C93">
        <w:lastRenderedPageBreak/>
        <w:t>References</w:t>
      </w:r>
    </w:p>
    <w:p w14:paraId="6F5478B2" w14:textId="3C980814" w:rsidR="00926D72" w:rsidRPr="007F6C93" w:rsidRDefault="00584FA4" w:rsidP="00926D72">
      <w:pPr>
        <w:pStyle w:val="References"/>
        <w:rPr>
          <w:rFonts w:eastAsiaTheme="minorEastAsia"/>
          <w:szCs w:val="22"/>
          <w:lang w:eastAsia="ko-KR"/>
        </w:rPr>
      </w:pPr>
      <w:r w:rsidRPr="007F6C93">
        <w:rPr>
          <w:rFonts w:eastAsiaTheme="minorEastAsia"/>
          <w:szCs w:val="22"/>
          <w:lang w:eastAsia="ko-KR"/>
        </w:rPr>
        <w:t>RAN1 chairman notes, RAN1#104</w:t>
      </w:r>
      <w:r w:rsidR="000C4899" w:rsidRPr="007F6C93">
        <w:rPr>
          <w:rFonts w:eastAsiaTheme="minorEastAsia"/>
          <w:szCs w:val="22"/>
          <w:lang w:eastAsia="ko-KR"/>
        </w:rPr>
        <w:t>-e</w:t>
      </w:r>
    </w:p>
    <w:p w14:paraId="16A737FB" w14:textId="77777777" w:rsidR="00491BCA" w:rsidRPr="006164F1" w:rsidRDefault="00491BCA" w:rsidP="00E3636D">
      <w:pPr>
        <w:spacing w:before="120" w:after="120" w:line="240" w:lineRule="auto"/>
        <w:ind w:left="284" w:hangingChars="129"/>
        <w:rPr>
          <w:rFonts w:eastAsia="바탕"/>
          <w:sz w:val="22"/>
          <w:szCs w:val="22"/>
          <w:lang w:val="en-US" w:eastAsia="ko-KR"/>
        </w:rPr>
      </w:pPr>
      <w:bookmarkStart w:id="3" w:name="_GoBack"/>
      <w:bookmarkEnd w:id="3"/>
    </w:p>
    <w:p w14:paraId="281B60A4"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CF8056" w14:textId="77777777" w:rsidR="006A2CED" w:rsidRDefault="006A2CED" w:rsidP="00CB15B0">
      <w:pPr>
        <w:spacing w:before="0" w:after="0" w:line="240" w:lineRule="auto"/>
      </w:pPr>
      <w:r>
        <w:separator/>
      </w:r>
    </w:p>
  </w:endnote>
  <w:endnote w:type="continuationSeparator" w:id="0">
    <w:p w14:paraId="6C530FBF" w14:textId="77777777" w:rsidR="006A2CED" w:rsidRDefault="006A2CED"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09A55" w14:textId="77777777" w:rsidR="006A2CED" w:rsidRDefault="006A2CED" w:rsidP="00CB15B0">
      <w:pPr>
        <w:spacing w:before="0" w:after="0" w:line="240" w:lineRule="auto"/>
      </w:pPr>
      <w:r>
        <w:separator/>
      </w:r>
    </w:p>
  </w:footnote>
  <w:footnote w:type="continuationSeparator" w:id="0">
    <w:p w14:paraId="14173C7B" w14:textId="77777777" w:rsidR="006A2CED" w:rsidRDefault="006A2CED"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4C2D91"/>
    <w:multiLevelType w:val="hybridMultilevel"/>
    <w:tmpl w:val="9B36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5" w15:restartNumberingAfterBreak="0">
    <w:nsid w:val="09F652AE"/>
    <w:multiLevelType w:val="hybridMultilevel"/>
    <w:tmpl w:val="3C9A4A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1DD0F9E"/>
    <w:multiLevelType w:val="hybridMultilevel"/>
    <w:tmpl w:val="89669A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F1074F"/>
    <w:multiLevelType w:val="hybridMultilevel"/>
    <w:tmpl w:val="15D054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9" w15:restartNumberingAfterBreak="0">
    <w:nsid w:val="199F126F"/>
    <w:multiLevelType w:val="hybridMultilevel"/>
    <w:tmpl w:val="20941E2E"/>
    <w:lvl w:ilvl="0" w:tplc="5290EA74">
      <w:start w:val="5"/>
      <w:numFmt w:val="bullet"/>
      <w:pStyle w:val="subheader"/>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10" w15:restartNumberingAfterBreak="0">
    <w:nsid w:val="1B164925"/>
    <w:multiLevelType w:val="hybridMultilevel"/>
    <w:tmpl w:val="A38EF996"/>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1" w15:restartNumberingAfterBreak="0">
    <w:nsid w:val="216F6062"/>
    <w:multiLevelType w:val="hybridMultilevel"/>
    <w:tmpl w:val="AF7EE64A"/>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F72A3F"/>
    <w:multiLevelType w:val="hybridMultilevel"/>
    <w:tmpl w:val="D468127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03A4C"/>
    <w:multiLevelType w:val="hybridMultilevel"/>
    <w:tmpl w:val="D3FAA4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73D6DB2"/>
    <w:multiLevelType w:val="hybridMultilevel"/>
    <w:tmpl w:val="151AEB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바탕"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22" w15:restartNumberingAfterBreak="0">
    <w:nsid w:val="3C0260F6"/>
    <w:multiLevelType w:val="hybridMultilevel"/>
    <w:tmpl w:val="91DE80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663ACE"/>
    <w:multiLevelType w:val="hybridMultilevel"/>
    <w:tmpl w:val="43F6A92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15:restartNumberingAfterBreak="0">
    <w:nsid w:val="48110173"/>
    <w:multiLevelType w:val="hybridMultilevel"/>
    <w:tmpl w:val="779E589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5AAE0ED2"/>
    <w:multiLevelType w:val="hybridMultilevel"/>
    <w:tmpl w:val="66DEB0A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0"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1" w15:restartNumberingAfterBreak="0">
    <w:nsid w:val="6D9E25EF"/>
    <w:multiLevelType w:val="hybridMultilevel"/>
    <w:tmpl w:val="3F3410A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3157D4"/>
    <w:multiLevelType w:val="multilevel"/>
    <w:tmpl w:val="B9FEFB0C"/>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4C15751"/>
    <w:multiLevelType w:val="hybridMultilevel"/>
    <w:tmpl w:val="0FE05EB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4745A6"/>
    <w:multiLevelType w:val="hybridMultilevel"/>
    <w:tmpl w:val="90F44C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B5445E"/>
    <w:multiLevelType w:val="hybridMultilevel"/>
    <w:tmpl w:val="14C2A9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D934108"/>
    <w:multiLevelType w:val="hybridMultilevel"/>
    <w:tmpl w:val="2D06C41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FE00173"/>
    <w:multiLevelType w:val="hybridMultilevel"/>
    <w:tmpl w:val="75466B0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num w:numId="1">
    <w:abstractNumId w:val="32"/>
  </w:num>
  <w:num w:numId="2">
    <w:abstractNumId w:val="0"/>
  </w:num>
  <w:num w:numId="3">
    <w:abstractNumId w:val="21"/>
  </w:num>
  <w:num w:numId="4">
    <w:abstractNumId w:val="13"/>
  </w:num>
  <w:num w:numId="5">
    <w:abstractNumId w:val="9"/>
  </w:num>
  <w:num w:numId="6">
    <w:abstractNumId w:val="15"/>
  </w:num>
  <w:num w:numId="7">
    <w:abstractNumId w:val="19"/>
  </w:num>
  <w:num w:numId="8">
    <w:abstractNumId w:val="4"/>
  </w:num>
  <w:num w:numId="9">
    <w:abstractNumId w:val="26"/>
  </w:num>
  <w:num w:numId="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0"/>
  </w:num>
  <w:num w:numId="13">
    <w:abstractNumId w:val="11"/>
  </w:num>
  <w:num w:numId="14">
    <w:abstractNumId w:val="17"/>
  </w:num>
  <w:num w:numId="15">
    <w:abstractNumId w:val="1"/>
  </w:num>
  <w:num w:numId="16">
    <w:abstractNumId w:val="1"/>
  </w:num>
  <w:num w:numId="17">
    <w:abstractNumId w:val="10"/>
  </w:num>
  <w:num w:numId="18">
    <w:abstractNumId w:val="38"/>
  </w:num>
  <w:num w:numId="19">
    <w:abstractNumId w:val="7"/>
  </w:num>
  <w:num w:numId="20">
    <w:abstractNumId w:val="34"/>
  </w:num>
  <w:num w:numId="21">
    <w:abstractNumId w:val="24"/>
  </w:num>
  <w:num w:numId="22">
    <w:abstractNumId w:val="31"/>
  </w:num>
  <w:num w:numId="23">
    <w:abstractNumId w:val="12"/>
  </w:num>
  <w:num w:numId="24">
    <w:abstractNumId w:val="2"/>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
  </w:num>
  <w:num w:numId="27">
    <w:abstractNumId w:val="18"/>
  </w:num>
  <w:num w:numId="28">
    <w:abstractNumId w:val="20"/>
  </w:num>
  <w:num w:numId="29">
    <w:abstractNumId w:val="22"/>
  </w:num>
  <w:num w:numId="30">
    <w:abstractNumId w:val="37"/>
  </w:num>
  <w:num w:numId="31">
    <w:abstractNumId w:val="25"/>
  </w:num>
  <w:num w:numId="32">
    <w:abstractNumId w:val="23"/>
  </w:num>
  <w:num w:numId="33">
    <w:abstractNumId w:val="14"/>
  </w:num>
  <w:num w:numId="34">
    <w:abstractNumId w:val="5"/>
  </w:num>
  <w:num w:numId="35">
    <w:abstractNumId w:val="16"/>
  </w:num>
  <w:num w:numId="36">
    <w:abstractNumId w:val="6"/>
  </w:num>
  <w:num w:numId="37">
    <w:abstractNumId w:val="28"/>
  </w:num>
  <w:num w:numId="38">
    <w:abstractNumId w:val="36"/>
  </w:num>
  <w:num w:numId="39">
    <w:abstractNumId w:val="35"/>
  </w:num>
  <w:num w:numId="40">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2C4"/>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17"/>
    <w:rsid w:val="0001235A"/>
    <w:rsid w:val="000123A0"/>
    <w:rsid w:val="000123F7"/>
    <w:rsid w:val="0001261E"/>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058"/>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4C1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A5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899"/>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0A0"/>
    <w:rsid w:val="001045BD"/>
    <w:rsid w:val="00104A1C"/>
    <w:rsid w:val="00104DB2"/>
    <w:rsid w:val="001053E1"/>
    <w:rsid w:val="001055BE"/>
    <w:rsid w:val="001056ED"/>
    <w:rsid w:val="00105E44"/>
    <w:rsid w:val="00105F63"/>
    <w:rsid w:val="001062FE"/>
    <w:rsid w:val="00107005"/>
    <w:rsid w:val="0010783A"/>
    <w:rsid w:val="00107B24"/>
    <w:rsid w:val="00107BDF"/>
    <w:rsid w:val="00110516"/>
    <w:rsid w:val="00110D35"/>
    <w:rsid w:val="001116AB"/>
    <w:rsid w:val="00111725"/>
    <w:rsid w:val="00112306"/>
    <w:rsid w:val="00112938"/>
    <w:rsid w:val="00112CF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3EC6"/>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55F"/>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071"/>
    <w:rsid w:val="0017069F"/>
    <w:rsid w:val="001707CF"/>
    <w:rsid w:val="0017093A"/>
    <w:rsid w:val="00170B34"/>
    <w:rsid w:val="001712D9"/>
    <w:rsid w:val="001717C0"/>
    <w:rsid w:val="001718D4"/>
    <w:rsid w:val="001723D6"/>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1A"/>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4961"/>
    <w:rsid w:val="001A6330"/>
    <w:rsid w:val="001A6969"/>
    <w:rsid w:val="001A69ED"/>
    <w:rsid w:val="001A73A2"/>
    <w:rsid w:val="001A7A6F"/>
    <w:rsid w:val="001A7CD3"/>
    <w:rsid w:val="001A7E83"/>
    <w:rsid w:val="001B0235"/>
    <w:rsid w:val="001B096C"/>
    <w:rsid w:val="001B0E41"/>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19"/>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CB6"/>
    <w:rsid w:val="00217E7C"/>
    <w:rsid w:val="002210F3"/>
    <w:rsid w:val="00221698"/>
    <w:rsid w:val="002219F3"/>
    <w:rsid w:val="00221C16"/>
    <w:rsid w:val="00221C2F"/>
    <w:rsid w:val="00221D6D"/>
    <w:rsid w:val="00221EF5"/>
    <w:rsid w:val="00222EF8"/>
    <w:rsid w:val="0022306B"/>
    <w:rsid w:val="00223554"/>
    <w:rsid w:val="002235B7"/>
    <w:rsid w:val="002239E4"/>
    <w:rsid w:val="0022464D"/>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CF8"/>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3DE3"/>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143"/>
    <w:rsid w:val="002B1266"/>
    <w:rsid w:val="002B183B"/>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A36"/>
    <w:rsid w:val="002C3D3F"/>
    <w:rsid w:val="002C4683"/>
    <w:rsid w:val="002C4D31"/>
    <w:rsid w:val="002C56AE"/>
    <w:rsid w:val="002C58BF"/>
    <w:rsid w:val="002C5935"/>
    <w:rsid w:val="002C5BD3"/>
    <w:rsid w:val="002C69CB"/>
    <w:rsid w:val="002C7034"/>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41D"/>
    <w:rsid w:val="002D59A1"/>
    <w:rsid w:val="002D5D4E"/>
    <w:rsid w:val="002D5E07"/>
    <w:rsid w:val="002D7AE1"/>
    <w:rsid w:val="002D7CA3"/>
    <w:rsid w:val="002E019A"/>
    <w:rsid w:val="002E0B11"/>
    <w:rsid w:val="002E0B45"/>
    <w:rsid w:val="002E0BC1"/>
    <w:rsid w:val="002E12D3"/>
    <w:rsid w:val="002E1396"/>
    <w:rsid w:val="002E220D"/>
    <w:rsid w:val="002E244F"/>
    <w:rsid w:val="002E297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5CC2"/>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053"/>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AF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06CA"/>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5A"/>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E9C"/>
    <w:rsid w:val="00365FE0"/>
    <w:rsid w:val="00366144"/>
    <w:rsid w:val="00366376"/>
    <w:rsid w:val="00366EEA"/>
    <w:rsid w:val="003678D3"/>
    <w:rsid w:val="00367CD5"/>
    <w:rsid w:val="003706AE"/>
    <w:rsid w:val="00371283"/>
    <w:rsid w:val="0037205B"/>
    <w:rsid w:val="003720ED"/>
    <w:rsid w:val="00373473"/>
    <w:rsid w:val="00373D9D"/>
    <w:rsid w:val="0037441B"/>
    <w:rsid w:val="003744C8"/>
    <w:rsid w:val="0037451F"/>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AE7"/>
    <w:rsid w:val="003812DF"/>
    <w:rsid w:val="0038163B"/>
    <w:rsid w:val="00381868"/>
    <w:rsid w:val="00381969"/>
    <w:rsid w:val="00381CBF"/>
    <w:rsid w:val="00381CC0"/>
    <w:rsid w:val="003829AC"/>
    <w:rsid w:val="00382AB6"/>
    <w:rsid w:val="00382E12"/>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6D40"/>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3AF"/>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49C"/>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86"/>
    <w:rsid w:val="004236E7"/>
    <w:rsid w:val="00423842"/>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48C"/>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6AF"/>
    <w:rsid w:val="004407C1"/>
    <w:rsid w:val="00440A4B"/>
    <w:rsid w:val="00440BD1"/>
    <w:rsid w:val="00440CB8"/>
    <w:rsid w:val="004412FF"/>
    <w:rsid w:val="00441660"/>
    <w:rsid w:val="00441AEF"/>
    <w:rsid w:val="00441CED"/>
    <w:rsid w:val="00441D55"/>
    <w:rsid w:val="00442F99"/>
    <w:rsid w:val="004431C4"/>
    <w:rsid w:val="00443766"/>
    <w:rsid w:val="0044388D"/>
    <w:rsid w:val="00443B08"/>
    <w:rsid w:val="00443FCA"/>
    <w:rsid w:val="00444BF4"/>
    <w:rsid w:val="00444CC2"/>
    <w:rsid w:val="00444CD6"/>
    <w:rsid w:val="00444FA3"/>
    <w:rsid w:val="00445090"/>
    <w:rsid w:val="004450D8"/>
    <w:rsid w:val="00445E1A"/>
    <w:rsid w:val="00445FB4"/>
    <w:rsid w:val="0044610E"/>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2B02"/>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1FBC"/>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8719D"/>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4E51"/>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291"/>
    <w:rsid w:val="004A7510"/>
    <w:rsid w:val="004A76C4"/>
    <w:rsid w:val="004A7B9C"/>
    <w:rsid w:val="004A7BF3"/>
    <w:rsid w:val="004A7E5B"/>
    <w:rsid w:val="004B0121"/>
    <w:rsid w:val="004B01B2"/>
    <w:rsid w:val="004B05B4"/>
    <w:rsid w:val="004B0B65"/>
    <w:rsid w:val="004B0C82"/>
    <w:rsid w:val="004B17F2"/>
    <w:rsid w:val="004B1DC1"/>
    <w:rsid w:val="004B1EA1"/>
    <w:rsid w:val="004B21B7"/>
    <w:rsid w:val="004B2A27"/>
    <w:rsid w:val="004B2B4C"/>
    <w:rsid w:val="004B36C5"/>
    <w:rsid w:val="004B3A70"/>
    <w:rsid w:val="004B44BC"/>
    <w:rsid w:val="004B464E"/>
    <w:rsid w:val="004B46FA"/>
    <w:rsid w:val="004B470D"/>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50D3"/>
    <w:rsid w:val="004C5230"/>
    <w:rsid w:val="004C5449"/>
    <w:rsid w:val="004C576A"/>
    <w:rsid w:val="004C65B8"/>
    <w:rsid w:val="004C70E4"/>
    <w:rsid w:val="004C7323"/>
    <w:rsid w:val="004C7851"/>
    <w:rsid w:val="004C7A27"/>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6C8"/>
    <w:rsid w:val="00515CE0"/>
    <w:rsid w:val="005160C5"/>
    <w:rsid w:val="0051647C"/>
    <w:rsid w:val="005165FE"/>
    <w:rsid w:val="005166AF"/>
    <w:rsid w:val="00516801"/>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5B9"/>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431"/>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1DDF"/>
    <w:rsid w:val="0056263B"/>
    <w:rsid w:val="00562649"/>
    <w:rsid w:val="00562742"/>
    <w:rsid w:val="00562A84"/>
    <w:rsid w:val="00562A8D"/>
    <w:rsid w:val="00562E20"/>
    <w:rsid w:val="0056330F"/>
    <w:rsid w:val="00563524"/>
    <w:rsid w:val="00563FC3"/>
    <w:rsid w:val="0056410C"/>
    <w:rsid w:val="00564545"/>
    <w:rsid w:val="005646B8"/>
    <w:rsid w:val="00565F03"/>
    <w:rsid w:val="005664EE"/>
    <w:rsid w:val="0056726D"/>
    <w:rsid w:val="0056790F"/>
    <w:rsid w:val="0057056B"/>
    <w:rsid w:val="00570E51"/>
    <w:rsid w:val="00571DA5"/>
    <w:rsid w:val="00571EA1"/>
    <w:rsid w:val="00571F25"/>
    <w:rsid w:val="00571F29"/>
    <w:rsid w:val="00572059"/>
    <w:rsid w:val="005720ED"/>
    <w:rsid w:val="00572133"/>
    <w:rsid w:val="005721A7"/>
    <w:rsid w:val="0057234A"/>
    <w:rsid w:val="00573B1A"/>
    <w:rsid w:val="005741F8"/>
    <w:rsid w:val="00574504"/>
    <w:rsid w:val="005745BE"/>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A4"/>
    <w:rsid w:val="00584FD1"/>
    <w:rsid w:val="005852F0"/>
    <w:rsid w:val="005858B0"/>
    <w:rsid w:val="00585AD7"/>
    <w:rsid w:val="00586052"/>
    <w:rsid w:val="0058610A"/>
    <w:rsid w:val="00586EFB"/>
    <w:rsid w:val="00586F49"/>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A2C"/>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24"/>
    <w:rsid w:val="005B68F2"/>
    <w:rsid w:val="005B6D64"/>
    <w:rsid w:val="005B7CBC"/>
    <w:rsid w:val="005C0610"/>
    <w:rsid w:val="005C06E2"/>
    <w:rsid w:val="005C0D62"/>
    <w:rsid w:val="005C1419"/>
    <w:rsid w:val="005C1C66"/>
    <w:rsid w:val="005C1D69"/>
    <w:rsid w:val="005C1FCB"/>
    <w:rsid w:val="005C26BC"/>
    <w:rsid w:val="005C2D18"/>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366"/>
    <w:rsid w:val="005E542E"/>
    <w:rsid w:val="005E5675"/>
    <w:rsid w:val="005E5976"/>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CA"/>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0A27"/>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15"/>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678"/>
    <w:rsid w:val="006977CB"/>
    <w:rsid w:val="00697E9C"/>
    <w:rsid w:val="006A01E3"/>
    <w:rsid w:val="006A021C"/>
    <w:rsid w:val="006A0E51"/>
    <w:rsid w:val="006A10C2"/>
    <w:rsid w:val="006A1201"/>
    <w:rsid w:val="006A1E3D"/>
    <w:rsid w:val="006A1ECC"/>
    <w:rsid w:val="006A2574"/>
    <w:rsid w:val="006A28A0"/>
    <w:rsid w:val="006A2CED"/>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6B7"/>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6F4"/>
    <w:rsid w:val="006E47C1"/>
    <w:rsid w:val="006E49B3"/>
    <w:rsid w:val="006E4AAF"/>
    <w:rsid w:val="006E4BCA"/>
    <w:rsid w:val="006E50E9"/>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1DF"/>
    <w:rsid w:val="00753650"/>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1E8B"/>
    <w:rsid w:val="00771F57"/>
    <w:rsid w:val="00772210"/>
    <w:rsid w:val="0077239B"/>
    <w:rsid w:val="0077257E"/>
    <w:rsid w:val="007741AC"/>
    <w:rsid w:val="007745A4"/>
    <w:rsid w:val="00774740"/>
    <w:rsid w:val="007748A3"/>
    <w:rsid w:val="00774F6D"/>
    <w:rsid w:val="0077593C"/>
    <w:rsid w:val="00775992"/>
    <w:rsid w:val="00775FF1"/>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5DC"/>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9F5"/>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2802"/>
    <w:rsid w:val="007D33A6"/>
    <w:rsid w:val="007D3D06"/>
    <w:rsid w:val="007D3DCA"/>
    <w:rsid w:val="007D3FF6"/>
    <w:rsid w:val="007D41F3"/>
    <w:rsid w:val="007D44AF"/>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C93"/>
    <w:rsid w:val="007F6FAD"/>
    <w:rsid w:val="007F7366"/>
    <w:rsid w:val="007F7462"/>
    <w:rsid w:val="007F76C2"/>
    <w:rsid w:val="007F7C1A"/>
    <w:rsid w:val="008001C5"/>
    <w:rsid w:val="0080037F"/>
    <w:rsid w:val="00800784"/>
    <w:rsid w:val="008007D3"/>
    <w:rsid w:val="00802029"/>
    <w:rsid w:val="0080209C"/>
    <w:rsid w:val="008027BF"/>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5EB"/>
    <w:rsid w:val="00844F73"/>
    <w:rsid w:val="00845D67"/>
    <w:rsid w:val="00845F85"/>
    <w:rsid w:val="0084665B"/>
    <w:rsid w:val="00847417"/>
    <w:rsid w:val="00847AB6"/>
    <w:rsid w:val="00847BCE"/>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5CAD"/>
    <w:rsid w:val="00876771"/>
    <w:rsid w:val="0087704A"/>
    <w:rsid w:val="008771BF"/>
    <w:rsid w:val="00877584"/>
    <w:rsid w:val="008776D1"/>
    <w:rsid w:val="00877885"/>
    <w:rsid w:val="00877FFB"/>
    <w:rsid w:val="00880566"/>
    <w:rsid w:val="00880E3F"/>
    <w:rsid w:val="00881A49"/>
    <w:rsid w:val="00882549"/>
    <w:rsid w:val="008828F1"/>
    <w:rsid w:val="00882C83"/>
    <w:rsid w:val="008830A0"/>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11"/>
    <w:rsid w:val="008B6BCF"/>
    <w:rsid w:val="008C0385"/>
    <w:rsid w:val="008C04AB"/>
    <w:rsid w:val="008C087B"/>
    <w:rsid w:val="008C0C83"/>
    <w:rsid w:val="008C15DE"/>
    <w:rsid w:val="008C1F7C"/>
    <w:rsid w:val="008C23A4"/>
    <w:rsid w:val="008C242C"/>
    <w:rsid w:val="008C30DE"/>
    <w:rsid w:val="008C32A8"/>
    <w:rsid w:val="008C44DA"/>
    <w:rsid w:val="008C4995"/>
    <w:rsid w:val="008C4C24"/>
    <w:rsid w:val="008C4ED3"/>
    <w:rsid w:val="008C4F5A"/>
    <w:rsid w:val="008C5457"/>
    <w:rsid w:val="008C5773"/>
    <w:rsid w:val="008C59CA"/>
    <w:rsid w:val="008C5EE1"/>
    <w:rsid w:val="008C67E6"/>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72"/>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221"/>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A0CC5"/>
    <w:rsid w:val="009A0D75"/>
    <w:rsid w:val="009A1448"/>
    <w:rsid w:val="009A1CFB"/>
    <w:rsid w:val="009A1DA2"/>
    <w:rsid w:val="009A2047"/>
    <w:rsid w:val="009A206C"/>
    <w:rsid w:val="009A22F4"/>
    <w:rsid w:val="009A3035"/>
    <w:rsid w:val="009A3B0D"/>
    <w:rsid w:val="009A4588"/>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573"/>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1B70"/>
    <w:rsid w:val="00A02556"/>
    <w:rsid w:val="00A02784"/>
    <w:rsid w:val="00A031AD"/>
    <w:rsid w:val="00A034BD"/>
    <w:rsid w:val="00A03930"/>
    <w:rsid w:val="00A03D6E"/>
    <w:rsid w:val="00A04344"/>
    <w:rsid w:val="00A04561"/>
    <w:rsid w:val="00A04A25"/>
    <w:rsid w:val="00A04D86"/>
    <w:rsid w:val="00A04E72"/>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9A7"/>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D58"/>
    <w:rsid w:val="00A37EE4"/>
    <w:rsid w:val="00A41ACC"/>
    <w:rsid w:val="00A41BDB"/>
    <w:rsid w:val="00A4215F"/>
    <w:rsid w:val="00A42197"/>
    <w:rsid w:val="00A42618"/>
    <w:rsid w:val="00A42987"/>
    <w:rsid w:val="00A42A1F"/>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16B"/>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A7A"/>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14"/>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B35"/>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670"/>
    <w:rsid w:val="00A96922"/>
    <w:rsid w:val="00A96E49"/>
    <w:rsid w:val="00A97205"/>
    <w:rsid w:val="00AA0764"/>
    <w:rsid w:val="00AA0C65"/>
    <w:rsid w:val="00AA0ECA"/>
    <w:rsid w:val="00AA163C"/>
    <w:rsid w:val="00AA1A66"/>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4F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DE8"/>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AB2"/>
    <w:rsid w:val="00AE3F2C"/>
    <w:rsid w:val="00AE41B5"/>
    <w:rsid w:val="00AE4387"/>
    <w:rsid w:val="00AE4400"/>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493"/>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FE5"/>
    <w:rsid w:val="00B02287"/>
    <w:rsid w:val="00B02643"/>
    <w:rsid w:val="00B02ABD"/>
    <w:rsid w:val="00B02CF7"/>
    <w:rsid w:val="00B0344E"/>
    <w:rsid w:val="00B0376E"/>
    <w:rsid w:val="00B03B1D"/>
    <w:rsid w:val="00B04145"/>
    <w:rsid w:val="00B04174"/>
    <w:rsid w:val="00B04246"/>
    <w:rsid w:val="00B04796"/>
    <w:rsid w:val="00B057AD"/>
    <w:rsid w:val="00B0590C"/>
    <w:rsid w:val="00B0650F"/>
    <w:rsid w:val="00B067CB"/>
    <w:rsid w:val="00B06BC5"/>
    <w:rsid w:val="00B06C04"/>
    <w:rsid w:val="00B07073"/>
    <w:rsid w:val="00B07723"/>
    <w:rsid w:val="00B07EB9"/>
    <w:rsid w:val="00B10BB0"/>
    <w:rsid w:val="00B10D89"/>
    <w:rsid w:val="00B1122D"/>
    <w:rsid w:val="00B1170F"/>
    <w:rsid w:val="00B12674"/>
    <w:rsid w:val="00B12D4F"/>
    <w:rsid w:val="00B12ED1"/>
    <w:rsid w:val="00B12F84"/>
    <w:rsid w:val="00B1339C"/>
    <w:rsid w:val="00B13414"/>
    <w:rsid w:val="00B1458D"/>
    <w:rsid w:val="00B14650"/>
    <w:rsid w:val="00B14A6A"/>
    <w:rsid w:val="00B14AD1"/>
    <w:rsid w:val="00B14BB3"/>
    <w:rsid w:val="00B150B9"/>
    <w:rsid w:val="00B153DD"/>
    <w:rsid w:val="00B16B08"/>
    <w:rsid w:val="00B16E92"/>
    <w:rsid w:val="00B171CA"/>
    <w:rsid w:val="00B17D98"/>
    <w:rsid w:val="00B2002E"/>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369F"/>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304"/>
    <w:rsid w:val="00B31110"/>
    <w:rsid w:val="00B31392"/>
    <w:rsid w:val="00B3151B"/>
    <w:rsid w:val="00B320F2"/>
    <w:rsid w:val="00B32B16"/>
    <w:rsid w:val="00B332E5"/>
    <w:rsid w:val="00B335F3"/>
    <w:rsid w:val="00B33FC6"/>
    <w:rsid w:val="00B34182"/>
    <w:rsid w:val="00B344F1"/>
    <w:rsid w:val="00B3457F"/>
    <w:rsid w:val="00B34D71"/>
    <w:rsid w:val="00B34EE0"/>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4D8B"/>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BE7"/>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80D"/>
    <w:rsid w:val="00BB613A"/>
    <w:rsid w:val="00BB65AA"/>
    <w:rsid w:val="00BB6817"/>
    <w:rsid w:val="00BB6EA0"/>
    <w:rsid w:val="00BB75A7"/>
    <w:rsid w:val="00BB7619"/>
    <w:rsid w:val="00BB791E"/>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24AD"/>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4545"/>
    <w:rsid w:val="00C14826"/>
    <w:rsid w:val="00C14B92"/>
    <w:rsid w:val="00C14C49"/>
    <w:rsid w:val="00C15118"/>
    <w:rsid w:val="00C15231"/>
    <w:rsid w:val="00C15644"/>
    <w:rsid w:val="00C1590E"/>
    <w:rsid w:val="00C16442"/>
    <w:rsid w:val="00C1669A"/>
    <w:rsid w:val="00C16890"/>
    <w:rsid w:val="00C17102"/>
    <w:rsid w:val="00C17812"/>
    <w:rsid w:val="00C17D6C"/>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7FB"/>
    <w:rsid w:val="00C43BDC"/>
    <w:rsid w:val="00C43CBD"/>
    <w:rsid w:val="00C43CCC"/>
    <w:rsid w:val="00C43DCB"/>
    <w:rsid w:val="00C43ED9"/>
    <w:rsid w:val="00C43F63"/>
    <w:rsid w:val="00C4424A"/>
    <w:rsid w:val="00C4475B"/>
    <w:rsid w:val="00C44992"/>
    <w:rsid w:val="00C4511E"/>
    <w:rsid w:val="00C46129"/>
    <w:rsid w:val="00C461F0"/>
    <w:rsid w:val="00C4661E"/>
    <w:rsid w:val="00C46F26"/>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8F4"/>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D7A"/>
    <w:rsid w:val="00C82EAC"/>
    <w:rsid w:val="00C82EB1"/>
    <w:rsid w:val="00C83217"/>
    <w:rsid w:val="00C8332E"/>
    <w:rsid w:val="00C83608"/>
    <w:rsid w:val="00C84241"/>
    <w:rsid w:val="00C84872"/>
    <w:rsid w:val="00C84E43"/>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4F7"/>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571"/>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BBC"/>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15A"/>
    <w:rsid w:val="00D36451"/>
    <w:rsid w:val="00D36F04"/>
    <w:rsid w:val="00D36F7B"/>
    <w:rsid w:val="00D3734B"/>
    <w:rsid w:val="00D37C64"/>
    <w:rsid w:val="00D37F20"/>
    <w:rsid w:val="00D40189"/>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B1"/>
    <w:rsid w:val="00D675E2"/>
    <w:rsid w:val="00D70814"/>
    <w:rsid w:val="00D71099"/>
    <w:rsid w:val="00D7197E"/>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5EF"/>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798"/>
    <w:rsid w:val="00DC4D77"/>
    <w:rsid w:val="00DC6741"/>
    <w:rsid w:val="00DC6804"/>
    <w:rsid w:val="00DC7664"/>
    <w:rsid w:val="00DC7ACC"/>
    <w:rsid w:val="00DC7F23"/>
    <w:rsid w:val="00DD0523"/>
    <w:rsid w:val="00DD05A9"/>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4D00"/>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8EC"/>
    <w:rsid w:val="00E02E76"/>
    <w:rsid w:val="00E031A5"/>
    <w:rsid w:val="00E03356"/>
    <w:rsid w:val="00E033AF"/>
    <w:rsid w:val="00E03569"/>
    <w:rsid w:val="00E036A7"/>
    <w:rsid w:val="00E03923"/>
    <w:rsid w:val="00E0407C"/>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93A"/>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352"/>
    <w:rsid w:val="00E2541F"/>
    <w:rsid w:val="00E2635F"/>
    <w:rsid w:val="00E268D3"/>
    <w:rsid w:val="00E26A5C"/>
    <w:rsid w:val="00E26C50"/>
    <w:rsid w:val="00E26F81"/>
    <w:rsid w:val="00E276F2"/>
    <w:rsid w:val="00E27E4B"/>
    <w:rsid w:val="00E307EA"/>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6DD0"/>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38C"/>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7A4"/>
    <w:rsid w:val="00EA08CD"/>
    <w:rsid w:val="00EA0976"/>
    <w:rsid w:val="00EA09EF"/>
    <w:rsid w:val="00EA1265"/>
    <w:rsid w:val="00EA1F63"/>
    <w:rsid w:val="00EA1FE1"/>
    <w:rsid w:val="00EA20F8"/>
    <w:rsid w:val="00EA2282"/>
    <w:rsid w:val="00EA292A"/>
    <w:rsid w:val="00EA29BE"/>
    <w:rsid w:val="00EA2C80"/>
    <w:rsid w:val="00EA360A"/>
    <w:rsid w:val="00EA3691"/>
    <w:rsid w:val="00EA3888"/>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3F66"/>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3CC0"/>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88E"/>
    <w:rsid w:val="00EF5A6A"/>
    <w:rsid w:val="00EF5B06"/>
    <w:rsid w:val="00EF5E67"/>
    <w:rsid w:val="00EF67B6"/>
    <w:rsid w:val="00EF6B5A"/>
    <w:rsid w:val="00EF6DB5"/>
    <w:rsid w:val="00EF6FA7"/>
    <w:rsid w:val="00F000C5"/>
    <w:rsid w:val="00F001CB"/>
    <w:rsid w:val="00F00A74"/>
    <w:rsid w:val="00F00CBC"/>
    <w:rsid w:val="00F0105D"/>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8A"/>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5FCD"/>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91B"/>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3F7A"/>
    <w:rsid w:val="00FD40B0"/>
    <w:rsid w:val="00FD4ED0"/>
    <w:rsid w:val="00FD5B55"/>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D5415D"/>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75FF1"/>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Doc"/>
    <w:link w:val="1Char"/>
    <w:qFormat/>
    <w:rsid w:val="00B057AD"/>
    <w:pPr>
      <w:keepNext/>
      <w:numPr>
        <w:numId w:val="1"/>
      </w:numPr>
      <w:tabs>
        <w:tab w:val="left" w:pos="0"/>
      </w:tabs>
      <w:spacing w:before="240" w:after="60"/>
      <w:outlineLvl w:val="0"/>
    </w:pPr>
    <w:rPr>
      <w:rFonts w:ascii="Arial" w:eastAsia="바탕" w:hAnsi="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B057AD"/>
    <w:rPr>
      <w:rFonts w:ascii="Arial" w:hAnsi="Arial"/>
      <w:b/>
      <w:kern w:val="28"/>
      <w:sz w:val="28"/>
      <w:lang w:val="en-GB"/>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proposal">
    <w:name w:val="proposal"/>
    <w:basedOn w:val="a0"/>
    <w:link w:val="proposalChar"/>
    <w:qFormat/>
    <w:rsid w:val="00775FF1"/>
    <w:pPr>
      <w:spacing w:before="120" w:after="120" w:line="240" w:lineRule="auto"/>
      <w:ind w:left="0" w:firstLine="0"/>
    </w:pPr>
    <w:rPr>
      <w:rFonts w:eastAsia="바탕"/>
      <w:b/>
      <w:sz w:val="22"/>
      <w:szCs w:val="22"/>
      <w:lang w:eastAsia="ko-KR"/>
    </w:rPr>
  </w:style>
  <w:style w:type="character" w:customStyle="1" w:styleId="proposalChar">
    <w:name w:val="proposal Char"/>
    <w:basedOn w:val="a1"/>
    <w:link w:val="proposal"/>
    <w:rsid w:val="00775FF1"/>
    <w:rPr>
      <w:b/>
      <w:sz w:val="22"/>
      <w:szCs w:val="22"/>
      <w:lang w:val="en-GB"/>
    </w:rPr>
  </w:style>
  <w:style w:type="paragraph" w:customStyle="1" w:styleId="Doc">
    <w:name w:val="Doc"/>
    <w:basedOn w:val="a0"/>
    <w:link w:val="DocChar"/>
    <w:qFormat/>
    <w:rsid w:val="00B057AD"/>
    <w:pPr>
      <w:spacing w:before="120" w:after="120" w:line="240" w:lineRule="auto"/>
      <w:ind w:left="0" w:firstLineChars="100" w:firstLine="220"/>
    </w:pPr>
    <w:rPr>
      <w:rFonts w:eastAsia="바탕"/>
      <w:bCs/>
      <w:sz w:val="22"/>
      <w:szCs w:val="22"/>
      <w:lang w:val="en-US" w:eastAsia="ko-KR"/>
    </w:rPr>
  </w:style>
  <w:style w:type="character" w:customStyle="1" w:styleId="DocChar">
    <w:name w:val="Doc Char"/>
    <w:basedOn w:val="a1"/>
    <w:link w:val="Doc"/>
    <w:rsid w:val="00B057AD"/>
    <w:rPr>
      <w:bCs/>
      <w:sz w:val="22"/>
      <w:szCs w:val="22"/>
    </w:rPr>
  </w:style>
  <w:style w:type="paragraph" w:customStyle="1" w:styleId="subheader">
    <w:name w:val="subheader"/>
    <w:basedOn w:val="a0"/>
    <w:next w:val="Doc"/>
    <w:link w:val="subheaderChar"/>
    <w:qFormat/>
    <w:rsid w:val="00937221"/>
    <w:pPr>
      <w:numPr>
        <w:numId w:val="5"/>
      </w:numPr>
      <w:spacing w:before="120" w:after="120" w:line="240" w:lineRule="auto"/>
      <w:ind w:left="578" w:hanging="357"/>
      <w:outlineLvl w:val="1"/>
    </w:pPr>
    <w:rPr>
      <w:rFonts w:eastAsia="바탕"/>
      <w:b/>
      <w:sz w:val="24"/>
      <w:szCs w:val="24"/>
      <w:lang w:eastAsia="ko-KR"/>
    </w:rPr>
  </w:style>
  <w:style w:type="character" w:customStyle="1" w:styleId="subheaderChar">
    <w:name w:val="subheader Char"/>
    <w:basedOn w:val="a1"/>
    <w:link w:val="subheader"/>
    <w:rsid w:val="00937221"/>
    <w:rPr>
      <w:b/>
      <w:sz w:val="24"/>
      <w:szCs w:val="24"/>
      <w:lang w:val="en-GB"/>
    </w:rPr>
  </w:style>
  <w:style w:type="paragraph" w:customStyle="1" w:styleId="agreementHEAD">
    <w:name w:val="agreement HEAD"/>
    <w:basedOn w:val="a0"/>
    <w:link w:val="agreementHEADChar"/>
    <w:qFormat/>
    <w:rsid w:val="00EF588E"/>
    <w:pPr>
      <w:spacing w:before="0" w:after="0" w:line="240" w:lineRule="exact"/>
      <w:ind w:left="0" w:firstLine="0"/>
      <w:jc w:val="left"/>
    </w:pPr>
    <w:rPr>
      <w:b/>
      <w:u w:val="single"/>
    </w:rPr>
  </w:style>
  <w:style w:type="character" w:customStyle="1" w:styleId="agreementHEADChar">
    <w:name w:val="agreement HEAD Char"/>
    <w:basedOn w:val="a1"/>
    <w:link w:val="agreementHEAD"/>
    <w:rsid w:val="00EF588E"/>
    <w:rPr>
      <w:rFonts w:eastAsia="MS Mincho"/>
      <w:b/>
      <w:u w:val="single"/>
      <w:lang w:val="en-GB" w:eastAsia="en-US"/>
    </w:rPr>
  </w:style>
  <w:style w:type="character" w:customStyle="1" w:styleId="Char0">
    <w:name w:val="메모 텍스트 Char"/>
    <w:basedOn w:val="a1"/>
    <w:link w:val="a9"/>
    <w:semiHidden/>
    <w:rsid w:val="009A4588"/>
    <w:rPr>
      <w:rFonts w:eastAsia="MS Mincho"/>
      <w:lang w:val="en-GB" w:eastAsia="en-US"/>
    </w:rPr>
  </w:style>
  <w:style w:type="paragraph" w:customStyle="1" w:styleId="listparagraph">
    <w:name w:val="listparagraph"/>
    <w:basedOn w:val="a0"/>
    <w:rsid w:val="00F14B8A"/>
    <w:pPr>
      <w:spacing w:before="100" w:beforeAutospacing="1" w:after="100" w:afterAutospacing="1" w:line="240" w:lineRule="auto"/>
      <w:ind w:left="0" w:firstLine="0"/>
      <w:jc w:val="left"/>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294919240">
      <w:bodyDiv w:val="1"/>
      <w:marLeft w:val="0"/>
      <w:marRight w:val="0"/>
      <w:marTop w:val="0"/>
      <w:marBottom w:val="0"/>
      <w:divBdr>
        <w:top w:val="none" w:sz="0" w:space="0" w:color="auto"/>
        <w:left w:val="none" w:sz="0" w:space="0" w:color="auto"/>
        <w:bottom w:val="none" w:sz="0" w:space="0" w:color="auto"/>
        <w:right w:val="none" w:sz="0" w:space="0" w:color="auto"/>
      </w:divBdr>
      <w:divsChild>
        <w:div w:id="726761401">
          <w:marLeft w:val="0"/>
          <w:marRight w:val="0"/>
          <w:marTop w:val="0"/>
          <w:marBottom w:val="0"/>
          <w:divBdr>
            <w:top w:val="none" w:sz="0" w:space="0" w:color="auto"/>
            <w:left w:val="none" w:sz="0" w:space="0" w:color="auto"/>
            <w:bottom w:val="none" w:sz="0" w:space="0" w:color="auto"/>
            <w:right w:val="none" w:sz="0" w:space="0" w:color="auto"/>
          </w:divBdr>
          <w:divsChild>
            <w:div w:id="82162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25034319">
      <w:bodyDiv w:val="1"/>
      <w:marLeft w:val="0"/>
      <w:marRight w:val="0"/>
      <w:marTop w:val="0"/>
      <w:marBottom w:val="0"/>
      <w:divBdr>
        <w:top w:val="none" w:sz="0" w:space="0" w:color="auto"/>
        <w:left w:val="none" w:sz="0" w:space="0" w:color="auto"/>
        <w:bottom w:val="none" w:sz="0" w:space="0" w:color="auto"/>
        <w:right w:val="none" w:sz="0" w:space="0" w:color="auto"/>
      </w:divBdr>
      <w:divsChild>
        <w:div w:id="1523131901">
          <w:marLeft w:val="0"/>
          <w:marRight w:val="0"/>
          <w:marTop w:val="0"/>
          <w:marBottom w:val="0"/>
          <w:divBdr>
            <w:top w:val="none" w:sz="0" w:space="0" w:color="auto"/>
            <w:left w:val="none" w:sz="0" w:space="0" w:color="auto"/>
            <w:bottom w:val="none" w:sz="0" w:space="0" w:color="auto"/>
            <w:right w:val="none" w:sz="0" w:space="0" w:color="auto"/>
          </w:divBdr>
          <w:divsChild>
            <w:div w:id="1994554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A7222E-EFAB-4092-A1E9-3D68856A3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1145</TotalTime>
  <Pages>6</Pages>
  <Words>1674</Words>
  <Characters>9544</Characters>
  <Application>Microsoft Office Word</Application>
  <DocSecurity>0</DocSecurity>
  <Lines>79</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45</cp:revision>
  <cp:lastPrinted>2018-02-12T06:55:00Z</cp:lastPrinted>
  <dcterms:created xsi:type="dcterms:W3CDTF">2020-10-23T12:25:00Z</dcterms:created>
  <dcterms:modified xsi:type="dcterms:W3CDTF">2021-05-12T01:17:00Z</dcterms:modified>
</cp:coreProperties>
</file>